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B1" w:rsidRDefault="004E1CB1">
      <w:pPr>
        <w:spacing w:line="276" w:lineRule="auto"/>
        <w:jc w:val="center"/>
      </w:pPr>
    </w:p>
    <w:p w:rsidR="004E1CB1" w:rsidRDefault="00C82918">
      <w:pPr>
        <w:spacing w:line="276" w:lineRule="auto"/>
        <w:jc w:val="right"/>
        <w:rPr>
          <w:rFonts w:ascii="Times New Roman" w:eastAsia="Times New Roman" w:hAnsi="Times New Roman" w:cs="Times New Roman"/>
          <w:sz w:val="18"/>
          <w:szCs w:val="18"/>
        </w:rPr>
      </w:pPr>
      <w:r>
        <w:rPr>
          <w:noProof/>
          <w:lang w:eastAsia="es-UY"/>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4E1CB1" w:rsidRDefault="004E1CB1">
      <w:pPr>
        <w:spacing w:line="276" w:lineRule="auto"/>
        <w:ind w:left="2124"/>
      </w:pPr>
    </w:p>
    <w:p w:rsidR="004E1CB1" w:rsidRDefault="00C82918">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4E1CB1" w:rsidRDefault="00C82918">
      <w:pPr>
        <w:spacing w:line="276" w:lineRule="auto"/>
        <w:ind w:left="2832"/>
      </w:pPr>
      <w:r>
        <w:rPr>
          <w:rFonts w:ascii="Times New Roman" w:eastAsia="Times New Roman" w:hAnsi="Times New Roman" w:cs="Times New Roman"/>
          <w:i/>
          <w:sz w:val="36"/>
          <w:szCs w:val="36"/>
        </w:rPr>
        <w:t xml:space="preserve">  Armada Nacional</w:t>
      </w:r>
      <w:r>
        <w:t>.</w:t>
      </w:r>
    </w:p>
    <w:p w:rsidR="004E1CB1" w:rsidRDefault="00C82918">
      <w:pPr>
        <w:spacing w:line="276" w:lineRule="auto"/>
      </w:pPr>
      <w:r>
        <w:rPr>
          <w:rFonts w:ascii="Times New Roman" w:eastAsia="Times New Roman" w:hAnsi="Times New Roman" w:cs="Times New Roman"/>
          <w:b/>
        </w:rPr>
        <w:t>1.</w:t>
      </w:r>
      <w:r>
        <w:rPr>
          <w:rFonts w:ascii="Times New Roman" w:eastAsia="Times New Roman" w:hAnsi="Times New Roman" w:cs="Times New Roman"/>
        </w:rPr>
        <w:t xml:space="preserve"> OBJETO DE LA CONTRATACIÓN: </w:t>
      </w:r>
      <w:r w:rsidR="00FD7CB1" w:rsidRPr="00FD7CB1">
        <w:rPr>
          <w:rFonts w:ascii="Times New Roman" w:eastAsia="Times New Roman" w:hAnsi="Times New Roman" w:cs="Times New Roman"/>
          <w:b/>
        </w:rPr>
        <w:t>A</w:t>
      </w:r>
      <w:r w:rsidR="00F9222C">
        <w:rPr>
          <w:rFonts w:ascii="Times New Roman" w:eastAsia="Times New Roman" w:hAnsi="Times New Roman" w:cs="Times New Roman"/>
          <w:b/>
        </w:rPr>
        <w:t xml:space="preserve">DQUISICION DE MATERIAL NAUTICO Y </w:t>
      </w:r>
      <w:r w:rsidR="00FD7CB1" w:rsidRPr="00FD7CB1">
        <w:rPr>
          <w:rFonts w:ascii="Times New Roman" w:eastAsia="Times New Roman" w:hAnsi="Times New Roman" w:cs="Times New Roman"/>
          <w:b/>
        </w:rPr>
        <w:t>METEOROLOGICO</w:t>
      </w:r>
    </w:p>
    <w:tbl>
      <w:tblPr>
        <w:tblW w:w="10355"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00" w:firstRow="0" w:lastRow="0" w:firstColumn="0" w:lastColumn="0" w:noHBand="0" w:noVBand="1"/>
      </w:tblPr>
      <w:tblGrid>
        <w:gridCol w:w="905"/>
        <w:gridCol w:w="885"/>
        <w:gridCol w:w="3314"/>
        <w:gridCol w:w="3129"/>
        <w:gridCol w:w="2122"/>
      </w:tblGrid>
      <w:tr w:rsidR="002A2C64" w:rsidTr="002A2C64">
        <w:trPr>
          <w:trHeight w:val="37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3129" w:type="dxa"/>
            <w:tcBorders>
              <w:top w:val="single" w:sz="4" w:space="0" w:color="000001"/>
              <w:left w:val="single" w:sz="4" w:space="0" w:color="000001"/>
              <w:bottom w:val="single" w:sz="4" w:space="0" w:color="000001"/>
            </w:tcBorders>
          </w:tcPr>
          <w:p w:rsidR="002A2C64" w:rsidRDefault="002A2C6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DESCRIPCION </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rsidP="002A2C64">
            <w:pPr>
              <w:spacing w:line="276" w:lineRule="auto"/>
              <w:jc w:val="center"/>
            </w:pPr>
            <w:r>
              <w:t>14742</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Higrómetro</w:t>
            </w:r>
          </w:p>
        </w:tc>
        <w:tc>
          <w:tcPr>
            <w:tcW w:w="3129" w:type="dxa"/>
            <w:tcBorders>
              <w:top w:val="single" w:sz="4" w:space="0" w:color="000001"/>
              <w:left w:val="single" w:sz="4" w:space="0" w:color="000001"/>
              <w:bottom w:val="single" w:sz="4" w:space="0" w:color="000001"/>
            </w:tcBorders>
          </w:tcPr>
          <w:p w:rsidR="002A2C64" w:rsidRDefault="00EC4582" w:rsidP="00360922">
            <w:pPr>
              <w:spacing w:after="0" w:line="276" w:lineRule="auto"/>
              <w:jc w:val="center"/>
            </w:pPr>
            <w:r>
              <w:t>Analógico, de mamparo para uso a bordo.</w:t>
            </w:r>
          </w:p>
          <w:p w:rsidR="00EC4582" w:rsidRDefault="00EC4582" w:rsidP="00360922">
            <w:pPr>
              <w:spacing w:after="0" w:line="276" w:lineRule="auto"/>
              <w:jc w:val="center"/>
            </w:pPr>
            <w:r>
              <w:t>Graduación en valores de porcentaje.</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5</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54230</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Compás de punta seca </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t>Recto en níquel de 7”</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5</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3390</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Gemelos Prismáticos</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rsidRPr="00360922">
              <w:t>Impermeable, alta resistencia a impactos y corrosión de agua de mar, antideslizante de caucho o material similar que impida el deslizamiento del artefacto, hermético con sellado de o-ring purgado con nitrógeno para evitar humedad, aumento 7x50</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7</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29621</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Reglas Paralelas</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t>En acrílico de 15”</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5</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74862</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rsidP="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Reloj de Mamparo</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t>Con vidrio resistente a rayones y bisagra para su apertura</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3</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3424</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Anemómetro de Mano</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t>Digital, con graduación en metros por segundos y nudos</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5</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6993</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Barómetro de Mamparo</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t>Hermético con sellado de o-ring de goma. Graduación en milibares y milímetros de Hg</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4</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6992</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Psicrómetro</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t>Par de termómetros de cristal con columna de mercurio, con soporte de metal, para empleo en abrigos meteorológicos. Graduados en grados centígrados</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9</w:t>
            </w:r>
          </w:p>
        </w:tc>
      </w:tr>
      <w:tr w:rsidR="002A2C64" w:rsidTr="002A2C64">
        <w:trPr>
          <w:trHeight w:val="567"/>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A2C64" w:rsidRDefault="002A2C64">
            <w:pPr>
              <w:spacing w:line="276" w:lineRule="auto"/>
              <w:jc w:val="center"/>
            </w:pPr>
            <w:r>
              <w:t>74328</w:t>
            </w:r>
          </w:p>
        </w:tc>
        <w:tc>
          <w:tcPr>
            <w:tcW w:w="3314" w:type="dxa"/>
            <w:tcBorders>
              <w:top w:val="single" w:sz="4" w:space="0" w:color="000001"/>
              <w:left w:val="single" w:sz="4" w:space="0" w:color="000001"/>
              <w:bottom w:val="single" w:sz="4" w:space="0" w:color="000001"/>
            </w:tcBorders>
            <w:shd w:val="clear" w:color="auto" w:fill="auto"/>
            <w:tcMar>
              <w:left w:w="108" w:type="dxa"/>
            </w:tcMar>
            <w:vAlign w:val="center"/>
          </w:tcPr>
          <w:p w:rsidR="002A2C64" w:rsidRDefault="002A2C64">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Abrigo Meteorológico</w:t>
            </w:r>
          </w:p>
        </w:tc>
        <w:tc>
          <w:tcPr>
            <w:tcW w:w="3129" w:type="dxa"/>
            <w:tcBorders>
              <w:top w:val="single" w:sz="4" w:space="0" w:color="000001"/>
              <w:left w:val="single" w:sz="4" w:space="0" w:color="000001"/>
              <w:bottom w:val="single" w:sz="4" w:space="0" w:color="000001"/>
            </w:tcBorders>
          </w:tcPr>
          <w:p w:rsidR="002A2C64" w:rsidRDefault="00360922">
            <w:pPr>
              <w:spacing w:after="0" w:line="276" w:lineRule="auto"/>
              <w:jc w:val="center"/>
            </w:pPr>
            <w:r>
              <w:t>Para uso a bordo, de madera con pintura blanca resistente a corrosión por salitre.</w:t>
            </w:r>
          </w:p>
          <w:p w:rsidR="00360922" w:rsidRDefault="00360922">
            <w:pPr>
              <w:spacing w:after="0" w:line="276" w:lineRule="auto"/>
              <w:jc w:val="center"/>
            </w:pPr>
            <w:r>
              <w:t xml:space="preserve">Medidas de referencia 40-50 </w:t>
            </w:r>
            <w:r w:rsidR="00FD7CB1">
              <w:t>centímetros x 20-30 centímetros y capacidad interior para instalación de par psicrómetro</w:t>
            </w:r>
          </w:p>
        </w:tc>
        <w:tc>
          <w:tcPr>
            <w:tcW w:w="21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A2C64" w:rsidRDefault="002A2C64">
            <w:pPr>
              <w:spacing w:after="0" w:line="276" w:lineRule="auto"/>
              <w:jc w:val="center"/>
            </w:pPr>
            <w:r>
              <w:t>7</w:t>
            </w:r>
          </w:p>
        </w:tc>
      </w:tr>
    </w:tbl>
    <w:p w:rsidR="004E1CB1" w:rsidRDefault="004E1CB1">
      <w:pPr>
        <w:spacing w:line="276" w:lineRule="auto"/>
        <w:jc w:val="both"/>
        <w:rPr>
          <w:rFonts w:ascii="Times New Roman" w:eastAsia="Times New Roman" w:hAnsi="Times New Roman" w:cs="Times New Roman"/>
          <w:b/>
        </w:rPr>
      </w:pP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4E1CB1" w:rsidRDefault="00C82918">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Style w:val="EnlacedeInternet"/>
            <w:rFonts w:ascii="Times New Roman" w:eastAsia="Times New Roman" w:hAnsi="Times New Roman" w:cs="Times New Roma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4E1CB1" w:rsidRDefault="002F0DD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oferta se </w:t>
      </w:r>
      <w:r w:rsidRPr="002F0DD6">
        <w:rPr>
          <w:rFonts w:ascii="Times New Roman" w:eastAsia="Times New Roman" w:hAnsi="Times New Roman" w:cs="Times New Roman"/>
          <w:b/>
          <w:u w:val="single"/>
        </w:rPr>
        <w:t>deberá</w:t>
      </w:r>
      <w:r w:rsidR="00C82918">
        <w:rPr>
          <w:rFonts w:ascii="Times New Roman" w:eastAsia="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4E1CB1" w:rsidRDefault="00C82918">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4E1CB1" w:rsidRDefault="00C82918">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4E1CB1" w:rsidRDefault="00C82918">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FD7CB1" w:rsidRDefault="00FD7CB1">
      <w:pPr>
        <w:spacing w:line="276" w:lineRule="auto"/>
        <w:jc w:val="both"/>
        <w:rPr>
          <w:rFonts w:ascii="Times New Roman" w:eastAsia="Times New Roman" w:hAnsi="Times New Roman" w:cs="Times New Roman"/>
        </w:rPr>
      </w:pPr>
    </w:p>
    <w:p w:rsidR="004E1CB1" w:rsidRDefault="00C82918">
      <w:pPr>
        <w:pStyle w:val="Ttulo2"/>
      </w:pPr>
      <w:r>
        <w:rPr>
          <w:rFonts w:ascii="Times New Roman" w:eastAsia="Times New Roman" w:hAnsi="Times New Roman" w:cs="Times New Roman"/>
          <w:b/>
        </w:rPr>
        <w:t>8.</w:t>
      </w:r>
      <w:r>
        <w:rPr>
          <w:rFonts w:ascii="Times New Roman" w:eastAsia="Times New Roman" w:hAnsi="Times New Roman" w:cs="Times New Roman"/>
        </w:rPr>
        <w:t xml:space="preserve"> Las consultas sobre especificaciones técnicas se harán </w:t>
      </w:r>
      <w:proofErr w:type="gramStart"/>
      <w:r>
        <w:rPr>
          <w:rFonts w:ascii="Times New Roman" w:eastAsia="Times New Roman" w:hAnsi="Times New Roman" w:cs="Times New Roman"/>
        </w:rPr>
        <w:t>al</w:t>
      </w:r>
      <w:proofErr w:type="gramEnd"/>
      <w:r>
        <w:rPr>
          <w:rFonts w:ascii="Times New Roman" w:eastAsia="Times New Roman" w:hAnsi="Times New Roman" w:cs="Times New Roman"/>
        </w:rPr>
        <w:t xml:space="preserve"> </w:t>
      </w:r>
      <w:r>
        <w:rPr>
          <w:rFonts w:ascii="Times New Roman" w:eastAsia="Times New Roman" w:hAnsi="Times New Roman" w:cs="Times New Roman"/>
          <w:b/>
        </w:rPr>
        <w:t>Sr</w:t>
      </w:r>
      <w:r w:rsidR="00FD7CB1">
        <w:rPr>
          <w:rFonts w:ascii="Times New Roman" w:eastAsia="Times New Roman" w:hAnsi="Times New Roman" w:cs="Times New Roman"/>
          <w:b/>
        </w:rPr>
        <w:t>a</w:t>
      </w:r>
      <w:r>
        <w:rPr>
          <w:rFonts w:ascii="Times New Roman" w:eastAsia="Times New Roman" w:hAnsi="Times New Roman" w:cs="Times New Roman"/>
          <w:b/>
        </w:rPr>
        <w:t xml:space="preserve">. </w:t>
      </w:r>
      <w:r w:rsidR="00A84E56">
        <w:rPr>
          <w:rFonts w:ascii="Times New Roman" w:eastAsia="Times New Roman" w:hAnsi="Times New Roman" w:cs="Times New Roman"/>
          <w:b/>
        </w:rPr>
        <w:t>Alférez</w:t>
      </w:r>
      <w:r w:rsidR="00FD7CB1">
        <w:rPr>
          <w:rFonts w:ascii="Times New Roman" w:eastAsia="Times New Roman" w:hAnsi="Times New Roman" w:cs="Times New Roman"/>
          <w:b/>
        </w:rPr>
        <w:t xml:space="preserve"> de </w:t>
      </w:r>
      <w:r w:rsidR="00A84E56">
        <w:rPr>
          <w:rFonts w:ascii="Times New Roman" w:eastAsia="Times New Roman" w:hAnsi="Times New Roman" w:cs="Times New Roman"/>
          <w:b/>
        </w:rPr>
        <w:t>Navío</w:t>
      </w:r>
      <w:r w:rsidR="00FD7CB1">
        <w:rPr>
          <w:rFonts w:ascii="Times New Roman" w:eastAsia="Times New Roman" w:hAnsi="Times New Roman" w:cs="Times New Roman"/>
          <w:b/>
        </w:rPr>
        <w:t xml:space="preserve"> (CG)</w:t>
      </w:r>
      <w:r w:rsidR="00A84E56">
        <w:rPr>
          <w:rFonts w:ascii="Times New Roman" w:eastAsia="Times New Roman" w:hAnsi="Times New Roman" w:cs="Times New Roman"/>
          <w:b/>
        </w:rPr>
        <w:t xml:space="preserve"> –Katherine CARDOZO al Cel.: 095.847.897</w:t>
      </w:r>
      <w:r>
        <w:rPr>
          <w:rFonts w:ascii="Times New Roman" w:eastAsia="Times New Roman" w:hAnsi="Times New Roman" w:cs="Times New Roman"/>
          <w:b/>
        </w:rPr>
        <w:t>, de Lunes a Viernes de 08:00 h</w:t>
      </w:r>
      <w:r w:rsidR="001A02E9">
        <w:rPr>
          <w:rFonts w:ascii="Times New Roman" w:eastAsia="Times New Roman" w:hAnsi="Times New Roman" w:cs="Times New Roman"/>
          <w:b/>
        </w:rPr>
        <w:t>s a 14</w:t>
      </w:r>
      <w:r>
        <w:rPr>
          <w:rFonts w:ascii="Times New Roman" w:eastAsia="Times New Roman" w:hAnsi="Times New Roman" w:cs="Times New Roman"/>
          <w:b/>
        </w:rPr>
        <w:t>:00 hs.</w:t>
      </w:r>
    </w:p>
    <w:p w:rsidR="004E1CB1" w:rsidRDefault="004E1CB1">
      <w:pPr>
        <w:pStyle w:val="Ttulo2"/>
      </w:pPr>
    </w:p>
    <w:p w:rsidR="004E1CB1" w:rsidRDefault="00C82918">
      <w:pPr>
        <w:pStyle w:val="Ttulo2"/>
      </w:pPr>
      <w:r>
        <w:rPr>
          <w:rFonts w:ascii="Times New Roman" w:eastAsia="Times New Roman" w:hAnsi="Times New Roman" w:cs="Times New Roman"/>
          <w:b/>
          <w:bCs/>
        </w:rPr>
        <w:t>09</w:t>
      </w:r>
      <w:r>
        <w:rPr>
          <w:rFonts w:ascii="Times New Roman" w:eastAsia="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4E1CB1" w:rsidRDefault="00C82918">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10. </w:t>
      </w:r>
      <w:r>
        <w:rPr>
          <w:rFonts w:ascii="Times New Roman" w:eastAsia="Times New Roman" w:hAnsi="Times New Roman" w:cs="Times New Roman"/>
        </w:rPr>
        <w:t xml:space="preserve">Se podrá cotizar bajo la modalidad </w:t>
      </w:r>
      <w:r>
        <w:rPr>
          <w:rFonts w:ascii="Times New Roman" w:eastAsia="Times New Roman" w:hAnsi="Times New Roman" w:cs="Times New Roman"/>
          <w:b/>
          <w:color w:val="000000"/>
        </w:rPr>
        <w:t>precio plaza</w:t>
      </w:r>
      <w:r w:rsidR="00D85A1B">
        <w:rPr>
          <w:rFonts w:ascii="Times New Roman" w:eastAsia="Times New Roman" w:hAnsi="Times New Roman" w:cs="Times New Roman"/>
          <w:b/>
          <w:color w:val="000000"/>
        </w:rPr>
        <w:t>.</w:t>
      </w:r>
    </w:p>
    <w:p w:rsidR="00FE168C" w:rsidRPr="00FE168C" w:rsidRDefault="00FE168C" w:rsidP="00FE168C">
      <w:pPr>
        <w:spacing w:line="276" w:lineRule="auto"/>
        <w:jc w:val="both"/>
        <w:rPr>
          <w:rFonts w:ascii="Times New Roman" w:eastAsia="Times New Roman" w:hAnsi="Times New Roman" w:cs="Times New Roman"/>
          <w:b/>
        </w:rPr>
      </w:pPr>
      <w:r w:rsidRPr="00FE168C">
        <w:rPr>
          <w:rFonts w:ascii="Times New Roman" w:eastAsia="Times New Roman" w:hAnsi="Times New Roman" w:cs="Times New Roman"/>
          <w:b/>
        </w:rPr>
        <w:t>SOLO MERCADERÍA PARA BUQUES/AERONAVES:</w:t>
      </w:r>
    </w:p>
    <w:p w:rsidR="00FE168C" w:rsidRPr="00FE168C" w:rsidRDefault="00FE168C" w:rsidP="00FE168C">
      <w:pPr>
        <w:spacing w:line="276" w:lineRule="auto"/>
        <w:jc w:val="both"/>
        <w:rPr>
          <w:rFonts w:ascii="Times New Roman" w:eastAsia="Times New Roman" w:hAnsi="Times New Roman" w:cs="Times New Roman"/>
          <w:b/>
        </w:rPr>
      </w:pPr>
      <w:r w:rsidRPr="00FE168C">
        <w:rPr>
          <w:rFonts w:ascii="Times New Roman" w:eastAsia="Times New Roman" w:hAnsi="Times New Roman" w:cs="Times New Roman"/>
          <w:b/>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4E1CB1" w:rsidRDefault="00C82918">
      <w:pPr>
        <w:spacing w:line="276" w:lineRule="auto"/>
        <w:jc w:val="both"/>
      </w:pPr>
      <w:r>
        <w:rPr>
          <w:rFonts w:ascii="Times New Roman" w:eastAsia="Times New Roman" w:hAnsi="Times New Roman" w:cs="Times New Roman"/>
          <w:b/>
        </w:rPr>
        <w:t>11.</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4E1CB1" w:rsidRDefault="00C82918">
      <w:pPr>
        <w:spacing w:line="276" w:lineRule="auto"/>
        <w:jc w:val="both"/>
      </w:pPr>
      <w:r>
        <w:rPr>
          <w:rFonts w:ascii="Times New Roman" w:eastAsia="Times New Roman" w:hAnsi="Times New Roman" w:cs="Times New Roman"/>
          <w:b/>
        </w:rPr>
        <w:t>12.</w:t>
      </w:r>
      <w:r>
        <w:rPr>
          <w:rFonts w:ascii="Times New Roman" w:eastAsia="Times New Roman" w:hAnsi="Times New Roman" w:cs="Times New Roman"/>
        </w:rPr>
        <w:t xml:space="preserve"> El plazo de mantenimiento de oferta no podrá ser inferior a </w:t>
      </w:r>
      <w:r>
        <w:rPr>
          <w:rFonts w:ascii="Times New Roman" w:eastAsia="Times New Roman" w:hAnsi="Times New Roman" w:cs="Times New Roman"/>
          <w:b/>
          <w:bCs/>
        </w:rPr>
        <w:t>90</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4E1CB1" w:rsidRDefault="00C82918">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Pr>
          <w:rFonts w:ascii="Times New Roman" w:eastAsia="Times New Roman" w:hAnsi="Times New Roman" w:cs="Times New Roman"/>
          <w:b/>
          <w:color w:val="000000"/>
          <w:highlight w:val="white"/>
        </w:rPr>
        <w:t xml:space="preserve"> SIIF</w:t>
      </w:r>
      <w:r w:rsidR="00D85A1B">
        <w:rPr>
          <w:rFonts w:ascii="Times New Roman" w:eastAsia="Times New Roman" w:hAnsi="Times New Roman" w:cs="Times New Roman"/>
          <w:b/>
          <w:color w:val="000000"/>
        </w:rPr>
        <w:t xml:space="preserve"> (en caso de cotizar en moneda extranjera ser Dólar Pizarra Vendedor)</w:t>
      </w:r>
      <w:bookmarkStart w:id="0" w:name="_GoBack"/>
      <w:bookmarkEnd w:id="0"/>
    </w:p>
    <w:p w:rsidR="004E1CB1" w:rsidRDefault="00A84E56">
      <w:pPr>
        <w:spacing w:line="276" w:lineRule="auto"/>
        <w:jc w:val="both"/>
      </w:pPr>
      <w:r>
        <w:rPr>
          <w:rFonts w:ascii="Times New Roman" w:eastAsia="Times New Roman" w:hAnsi="Times New Roman" w:cs="Times New Roman"/>
          <w:b/>
        </w:rPr>
        <w:t>14</w:t>
      </w:r>
      <w:r w:rsidR="00C82918">
        <w:rPr>
          <w:rFonts w:ascii="Times New Roman" w:eastAsia="Times New Roman" w:hAnsi="Times New Roman" w:cs="Times New Roman"/>
          <w:b/>
        </w:rPr>
        <w:t>.</w:t>
      </w:r>
      <w:r w:rsidR="00C82918">
        <w:rPr>
          <w:rFonts w:ascii="Times New Roman" w:eastAsia="Times New Roman" w:hAnsi="Times New Roman" w:cs="Times New Roman"/>
        </w:rPr>
        <w:t xml:space="preserve"> El plazo de entrega será </w:t>
      </w:r>
      <w:r>
        <w:rPr>
          <w:rFonts w:ascii="Times New Roman" w:eastAsia="Times New Roman" w:hAnsi="Times New Roman" w:cs="Times New Roman"/>
          <w:b/>
        </w:rPr>
        <w:t>3</w:t>
      </w:r>
      <w:r w:rsidR="001A02E9">
        <w:rPr>
          <w:rFonts w:ascii="Times New Roman" w:eastAsia="Times New Roman" w:hAnsi="Times New Roman" w:cs="Times New Roman"/>
          <w:b/>
        </w:rPr>
        <w:t>0 días</w:t>
      </w:r>
      <w:r w:rsidR="00C82918">
        <w:rPr>
          <w:rFonts w:ascii="Times New Roman" w:eastAsia="Times New Roman" w:hAnsi="Times New Roman" w:cs="Times New Roman"/>
        </w:rPr>
        <w:t xml:space="preserve">, desde el día siguiente hábil en que se hizo efectiva la entrega de la </w:t>
      </w:r>
      <w:r w:rsidR="00C82918">
        <w:rPr>
          <w:rFonts w:ascii="Times New Roman" w:eastAsia="Times New Roman" w:hAnsi="Times New Roman" w:cs="Times New Roman"/>
          <w:b/>
        </w:rPr>
        <w:t>Constancia de Afectación de Crédito (Orden de Compra)</w:t>
      </w:r>
    </w:p>
    <w:p w:rsidR="004E1CB1" w:rsidRDefault="00A84E56">
      <w:pPr>
        <w:spacing w:line="276" w:lineRule="auto"/>
        <w:jc w:val="both"/>
      </w:pPr>
      <w:r>
        <w:rPr>
          <w:rFonts w:ascii="Times New Roman" w:eastAsia="Times New Roman" w:hAnsi="Times New Roman" w:cs="Times New Roman"/>
          <w:b/>
        </w:rPr>
        <w:t>15</w:t>
      </w:r>
      <w:r w:rsidR="00C82918">
        <w:rPr>
          <w:rFonts w:ascii="Times New Roman" w:eastAsia="Times New Roman" w:hAnsi="Times New Roman" w:cs="Times New Roman"/>
          <w:b/>
        </w:rPr>
        <w:t>.</w:t>
      </w:r>
      <w:r w:rsidR="00C82918">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4E1CB1" w:rsidRDefault="00A84E56">
      <w:pPr>
        <w:spacing w:line="276" w:lineRule="auto"/>
        <w:jc w:val="both"/>
      </w:pPr>
      <w:r>
        <w:rPr>
          <w:rFonts w:ascii="Times New Roman" w:eastAsia="Times New Roman" w:hAnsi="Times New Roman" w:cs="Times New Roman"/>
          <w:b/>
        </w:rPr>
        <w:t>16</w:t>
      </w:r>
      <w:r w:rsidR="00C82918">
        <w:rPr>
          <w:rFonts w:ascii="Times New Roman" w:eastAsia="Times New Roman" w:hAnsi="Times New Roman" w:cs="Times New Roman"/>
          <w:b/>
        </w:rPr>
        <w:t>.</w:t>
      </w:r>
      <w:r w:rsidR="00C82918">
        <w:rPr>
          <w:rFonts w:ascii="Times New Roman" w:eastAsia="Times New Roman" w:hAnsi="Times New Roman" w:cs="Times New Roman"/>
        </w:rPr>
        <w:t xml:space="preserve"> La Administración se reserva el derecho de evaluar las ofertas de forma global o no y de adjudicar total o parcialmente la oferta.</w:t>
      </w:r>
    </w:p>
    <w:p w:rsidR="004E1CB1" w:rsidRDefault="004E1CB1">
      <w:pPr>
        <w:spacing w:line="276" w:lineRule="auto"/>
        <w:jc w:val="both"/>
        <w:rPr>
          <w:rFonts w:ascii="Times New Roman" w:eastAsia="Times New Roman" w:hAnsi="Times New Roman" w:cs="Times New Roman"/>
          <w:b/>
        </w:rPr>
      </w:pPr>
    </w:p>
    <w:p w:rsidR="004E1CB1" w:rsidRDefault="004E1CB1">
      <w:pPr>
        <w:spacing w:line="276" w:lineRule="auto"/>
        <w:jc w:val="both"/>
        <w:rPr>
          <w:rFonts w:ascii="Times New Roman" w:eastAsia="Times New Roman" w:hAnsi="Times New Roman" w:cs="Times New Roman"/>
          <w:b/>
        </w:rPr>
      </w:pPr>
    </w:p>
    <w:p w:rsidR="004E1CB1" w:rsidRDefault="00C82918">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W w:w="7083" w:type="dxa"/>
        <w:tblBorders>
          <w:top w:val="single" w:sz="4" w:space="0" w:color="000001"/>
          <w:left w:val="single" w:sz="4" w:space="0" w:color="000001"/>
          <w:bottom w:val="single" w:sz="4" w:space="0" w:color="000001"/>
          <w:insideH w:val="single" w:sz="4" w:space="0" w:color="000001"/>
        </w:tblBorders>
        <w:tblLook w:val="0400" w:firstRow="0" w:lastRow="0" w:firstColumn="0" w:lastColumn="0" w:noHBand="0" w:noVBand="1"/>
      </w:tblPr>
      <w:tblGrid>
        <w:gridCol w:w="3539"/>
        <w:gridCol w:w="3544"/>
      </w:tblGrid>
      <w:tr w:rsidR="001A02E9" w:rsidTr="001A02E9">
        <w:tc>
          <w:tcPr>
            <w:tcW w:w="3539" w:type="dxa"/>
            <w:tcBorders>
              <w:top w:val="single" w:sz="4" w:space="0" w:color="000001"/>
              <w:left w:val="single" w:sz="4" w:space="0" w:color="000001"/>
              <w:bottom w:val="single" w:sz="4" w:space="0" w:color="000001"/>
            </w:tcBorders>
            <w:shd w:val="clear" w:color="auto" w:fill="auto"/>
            <w:tcMar>
              <w:left w:w="108" w:type="dxa"/>
            </w:tcMar>
          </w:tcPr>
          <w:p w:rsidR="001A02E9" w:rsidRDefault="001A02E9">
            <w:pPr>
              <w:spacing w:line="276" w:lineRule="auto"/>
              <w:jc w:val="center"/>
              <w:rPr>
                <w:rFonts w:ascii="Times New Roman" w:eastAsia="Times New Roman" w:hAnsi="Times New Roman" w:cs="Times New Roman"/>
                <w:b/>
              </w:rPr>
            </w:pPr>
          </w:p>
          <w:p w:rsidR="001A02E9" w:rsidRDefault="001A02E9">
            <w:pPr>
              <w:spacing w:line="276" w:lineRule="auto"/>
              <w:jc w:val="center"/>
            </w:pPr>
            <w:r>
              <w:rPr>
                <w:rFonts w:ascii="Times New Roman" w:eastAsia="Times New Roman" w:hAnsi="Times New Roman" w:cs="Times New Roman"/>
                <w:b/>
              </w:rPr>
              <w:t>PRECIO</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02E9" w:rsidRDefault="001A02E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1A02E9" w:rsidTr="001A02E9">
        <w:tc>
          <w:tcPr>
            <w:tcW w:w="3539" w:type="dxa"/>
            <w:tcBorders>
              <w:top w:val="single" w:sz="4" w:space="0" w:color="000001"/>
              <w:left w:val="single" w:sz="4" w:space="0" w:color="000001"/>
              <w:bottom w:val="single" w:sz="4" w:space="0" w:color="000001"/>
            </w:tcBorders>
            <w:shd w:val="clear" w:color="auto" w:fill="auto"/>
            <w:tcMar>
              <w:left w:w="108" w:type="dxa"/>
            </w:tcMar>
          </w:tcPr>
          <w:p w:rsidR="001A02E9" w:rsidRDefault="001A02E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02E9" w:rsidRDefault="001A02E9">
            <w:pPr>
              <w:spacing w:line="276" w:lineRule="auto"/>
              <w:jc w:val="center"/>
            </w:pPr>
            <w:r>
              <w:rPr>
                <w:rFonts w:ascii="Times New Roman" w:eastAsia="Times New Roman" w:hAnsi="Times New Roman" w:cs="Times New Roman"/>
                <w:b/>
              </w:rPr>
              <w:t>20%</w:t>
            </w:r>
          </w:p>
        </w:tc>
      </w:tr>
    </w:tbl>
    <w:p w:rsidR="004E1CB1" w:rsidRDefault="004E1CB1">
      <w:pPr>
        <w:spacing w:line="276" w:lineRule="auto"/>
        <w:jc w:val="both"/>
        <w:rPr>
          <w:rFonts w:ascii="Times New Roman" w:eastAsia="Times New Roman" w:hAnsi="Times New Roman" w:cs="Times New Roman"/>
          <w:b/>
        </w:rPr>
      </w:pPr>
    </w:p>
    <w:p w:rsidR="004E1CB1" w:rsidRDefault="004E1CB1">
      <w:pPr>
        <w:spacing w:line="276" w:lineRule="auto"/>
        <w:jc w:val="both"/>
        <w:rPr>
          <w:rFonts w:ascii="Times New Roman" w:eastAsia="Times New Roman" w:hAnsi="Times New Roman" w:cs="Times New Roman"/>
          <w:b/>
        </w:rPr>
      </w:pPr>
    </w:p>
    <w:p w:rsidR="004E1CB1" w:rsidRDefault="00A84E56">
      <w:pPr>
        <w:spacing w:line="276" w:lineRule="auto"/>
        <w:jc w:val="both"/>
      </w:pPr>
      <w:r>
        <w:rPr>
          <w:rFonts w:ascii="Times New Roman" w:eastAsia="Times New Roman" w:hAnsi="Times New Roman" w:cs="Times New Roman"/>
          <w:b/>
        </w:rPr>
        <w:t>17</w:t>
      </w:r>
      <w:r w:rsidR="00C82918">
        <w:rPr>
          <w:rFonts w:ascii="Times New Roman" w:eastAsia="Times New Roman" w:hAnsi="Times New Roman" w:cs="Times New Roman"/>
          <w:b/>
        </w:rPr>
        <w:t xml:space="preserve">. </w:t>
      </w:r>
      <w:r w:rsidR="00C82918">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4E1CB1" w:rsidRDefault="00A84E56">
      <w:pPr>
        <w:spacing w:line="276" w:lineRule="auto"/>
        <w:jc w:val="both"/>
      </w:pPr>
      <w:r>
        <w:rPr>
          <w:rFonts w:ascii="Times New Roman" w:eastAsia="Times New Roman" w:hAnsi="Times New Roman" w:cs="Times New Roman"/>
          <w:b/>
        </w:rPr>
        <w:t>18</w:t>
      </w:r>
      <w:r w:rsidR="00C82918">
        <w:rPr>
          <w:rFonts w:ascii="Times New Roman" w:eastAsia="Times New Roman" w:hAnsi="Times New Roman" w:cs="Times New Roman"/>
          <w:b/>
        </w:rPr>
        <w:t>.</w:t>
      </w:r>
      <w:r w:rsidR="00C82918">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4E1CB1" w:rsidRDefault="00A84E56">
      <w:pPr>
        <w:spacing w:line="276" w:lineRule="auto"/>
        <w:jc w:val="both"/>
      </w:pPr>
      <w:r>
        <w:rPr>
          <w:rFonts w:ascii="Times New Roman" w:eastAsia="Times New Roman" w:hAnsi="Times New Roman" w:cs="Times New Roman"/>
          <w:b/>
        </w:rPr>
        <w:t>19.</w:t>
      </w:r>
      <w:r w:rsidR="00C82918">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4E1CB1">
      <w:pgSz w:w="11906" w:h="16838"/>
      <w:pgMar w:top="720" w:right="720" w:bottom="720" w:left="111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Times New Rom">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0AC"/>
    <w:multiLevelType w:val="multilevel"/>
    <w:tmpl w:val="3B188F6E"/>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96568D"/>
    <w:multiLevelType w:val="multilevel"/>
    <w:tmpl w:val="56C415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1D6C24"/>
    <w:multiLevelType w:val="multilevel"/>
    <w:tmpl w:val="B9521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1"/>
    <w:rsid w:val="001A02E9"/>
    <w:rsid w:val="002A2C64"/>
    <w:rsid w:val="002F0DD6"/>
    <w:rsid w:val="00360922"/>
    <w:rsid w:val="004E1CB1"/>
    <w:rsid w:val="006929F6"/>
    <w:rsid w:val="00A84E56"/>
    <w:rsid w:val="00B2408B"/>
    <w:rsid w:val="00C82918"/>
    <w:rsid w:val="00D85A1B"/>
    <w:rsid w:val="00EC4582"/>
    <w:rsid w:val="00EF0631"/>
    <w:rsid w:val="00F9222C"/>
    <w:rsid w:val="00FD7CB1"/>
    <w:rsid w:val="00FE168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C462A-3BA4-46D8-8DE9-0C80D1CF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style>
  <w:style w:type="paragraph" w:styleId="Ttulo1">
    <w:name w:val="heading 1"/>
    <w:qFormat/>
    <w:rsid w:val="00133EAB"/>
    <w:pPr>
      <w:keepNext/>
      <w:keepLines/>
      <w:widowControl w:val="0"/>
      <w:spacing w:before="480" w:after="120"/>
      <w:outlineLvl w:val="0"/>
    </w:pPr>
    <w:rPr>
      <w:b/>
      <w:sz w:val="48"/>
      <w:szCs w:val="48"/>
    </w:rPr>
  </w:style>
  <w:style w:type="paragraph" w:styleId="Ttulo2">
    <w:name w:val="heading 2"/>
    <w:qFormat/>
    <w:rsid w:val="001339E0"/>
    <w:pPr>
      <w:widowControl w:val="0"/>
      <w:outlineLvl w:val="1"/>
    </w:pPr>
  </w:style>
  <w:style w:type="paragraph" w:styleId="Ttulo3">
    <w:name w:val="heading 3"/>
    <w:qFormat/>
    <w:rsid w:val="00133EAB"/>
    <w:pPr>
      <w:keepNext/>
      <w:keepLines/>
      <w:widowControl w:val="0"/>
      <w:spacing w:before="280" w:after="80"/>
      <w:outlineLvl w:val="2"/>
    </w:pPr>
    <w:rPr>
      <w:b/>
      <w:sz w:val="28"/>
      <w:szCs w:val="28"/>
    </w:rPr>
  </w:style>
  <w:style w:type="paragraph" w:styleId="Ttulo4">
    <w:name w:val="heading 4"/>
    <w:qFormat/>
    <w:rsid w:val="00133EAB"/>
    <w:pPr>
      <w:keepNext/>
      <w:keepLines/>
      <w:widowControl w:val="0"/>
      <w:spacing w:before="240" w:after="40"/>
      <w:outlineLvl w:val="3"/>
    </w:pPr>
    <w:rPr>
      <w:b/>
      <w:sz w:val="24"/>
      <w:szCs w:val="24"/>
    </w:rPr>
  </w:style>
  <w:style w:type="paragraph" w:styleId="Ttulo5">
    <w:name w:val="heading 5"/>
    <w:qFormat/>
    <w:rsid w:val="00133EAB"/>
    <w:pPr>
      <w:keepNext/>
      <w:keepLines/>
      <w:widowControl w:val="0"/>
      <w:spacing w:before="220" w:after="40"/>
      <w:outlineLvl w:val="4"/>
    </w:pPr>
    <w:rPr>
      <w:b/>
    </w:rPr>
  </w:style>
  <w:style w:type="paragraph" w:styleId="Ttulo6">
    <w:name w:val="heading 6"/>
    <w:qFormat/>
    <w:rsid w:val="00133EAB"/>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character" w:customStyle="1" w:styleId="iceouttxt">
    <w:name w:val="iceouttxt"/>
    <w:basedOn w:val="Fuentedeprrafopredeter"/>
    <w:qFormat/>
    <w:rsid w:val="00D636DB"/>
  </w:style>
  <w:style w:type="character" w:customStyle="1" w:styleId="ListLabel231">
    <w:name w:val="ListLabel 231"/>
    <w:qFormat/>
    <w:rPr>
      <w:rFonts w:ascii="Times New Roman" w:eastAsia="Times New Roman" w:hAnsi="Times New Roman" w:cs="Times New Roman"/>
      <w:b/>
      <w:sz w:val="22"/>
      <w:szCs w:val="22"/>
    </w:rPr>
  </w:style>
  <w:style w:type="paragraph" w:styleId="Puest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Normal1">
    <w:name w:val="Normal1"/>
    <w:qFormat/>
    <w:rsid w:val="00133EAB"/>
  </w:style>
  <w:style w:type="paragraph" w:customStyle="1" w:styleId="Ttulo10">
    <w:name w:val="Título1"/>
    <w:basedOn w:val="Normal"/>
    <w:qFormat/>
    <w:rsid w:val="001339E0"/>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paragraph" w:styleId="Subttulo">
    <w:name w:val="Subtitle"/>
    <w:basedOn w:val="Normal"/>
    <w:next w:val="Normal"/>
    <w:qFormat/>
    <w:rsid w:val="00133EAB"/>
    <w:pPr>
      <w:keepNext/>
      <w:keepLines/>
      <w:spacing w:before="360" w:after="80"/>
    </w:pPr>
    <w:rPr>
      <w:rFonts w:ascii="Georgia" w:eastAsia="Georgia" w:hAnsi="Georgia" w:cs="Georgia"/>
      <w:i/>
      <w:color w:val="666666"/>
      <w:sz w:val="48"/>
      <w:szCs w:val="48"/>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customStyle="1" w:styleId="TableNormal">
    <w:name w:val="Table Normal"/>
    <w:rsid w:val="00133EAB"/>
    <w:tblPr>
      <w:tblCellMar>
        <w:top w:w="0" w:type="dxa"/>
        <w:left w:w="0" w:type="dxa"/>
        <w:bottom w:w="0" w:type="dxa"/>
        <w:right w:w="0" w:type="dxa"/>
      </w:tblCellMar>
    </w:tblPr>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2020-09-23T12:07:00Z</cp:lastPrinted>
  <dcterms:created xsi:type="dcterms:W3CDTF">2020-10-20T14:43:00Z</dcterms:created>
  <dcterms:modified xsi:type="dcterms:W3CDTF">2020-10-20T14:43:00Z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