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194" w:rsidRDefault="00221194">
      <w:pPr>
        <w:spacing w:line="276" w:lineRule="auto"/>
        <w:jc w:val="center"/>
      </w:pPr>
    </w:p>
    <w:p w:rsidR="00221194" w:rsidRDefault="00921F34">
      <w:pPr>
        <w:spacing w:line="276" w:lineRule="auto"/>
        <w:jc w:val="right"/>
        <w:rPr>
          <w:rFonts w:ascii="Times New Roman" w:eastAsia="Times New Roman" w:hAnsi="Times New Roman" w:cs="Times New Roman"/>
          <w:sz w:val="18"/>
          <w:szCs w:val="18"/>
        </w:rPr>
      </w:pPr>
      <w:r>
        <w:rPr>
          <w:noProof/>
          <w:lang w:eastAsia="es-UY"/>
        </w:rPr>
        <w:drawing>
          <wp:inline distT="0" distB="0" distL="0" distR="0">
            <wp:extent cx="1532255" cy="627380"/>
            <wp:effectExtent l="0" t="0" r="0" b="0"/>
            <wp:docPr id="1" name="image1.jpg"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Users\uccar22\AppData\Local\Temp\LOGO ARMADA EN JPG.jpg"/>
                    <pic:cNvPicPr>
                      <a:picLocks noChangeAspect="1" noChangeArrowheads="1"/>
                    </pic:cNvPicPr>
                  </pic:nvPicPr>
                  <pic:blipFill>
                    <a:blip r:embed="rId6"/>
                    <a:stretch>
                      <a:fillRect/>
                    </a:stretch>
                  </pic:blipFill>
                  <pic:spPr bwMode="auto">
                    <a:xfrm>
                      <a:off x="0" y="0"/>
                      <a:ext cx="1532255" cy="627380"/>
                    </a:xfrm>
                    <a:prstGeom prst="rect">
                      <a:avLst/>
                    </a:prstGeom>
                  </pic:spPr>
                </pic:pic>
              </a:graphicData>
            </a:graphic>
          </wp:inline>
        </w:drawing>
      </w:r>
      <w:r>
        <w:rPr>
          <w:noProof/>
          <w:lang w:eastAsia="es-UY"/>
        </w:rPr>
        <w:drawing>
          <wp:anchor distT="0" distB="0" distL="0" distR="0" simplePos="0" relativeHeight="2" behindDoc="0" locked="0" layoutInCell="1" allowOverlap="1">
            <wp:simplePos x="0" y="0"/>
            <wp:positionH relativeFrom="column">
              <wp:posOffset>2310765</wp:posOffset>
            </wp:positionH>
            <wp:positionV relativeFrom="paragraph">
              <wp:posOffset>-102870</wp:posOffset>
            </wp:positionV>
            <wp:extent cx="971550" cy="118110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221194" w:rsidRDefault="00221194">
      <w:pPr>
        <w:spacing w:line="276" w:lineRule="auto"/>
        <w:ind w:left="2124"/>
      </w:pPr>
    </w:p>
    <w:p w:rsidR="00221194" w:rsidRDefault="00921F34">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221194" w:rsidRDefault="00921F34">
      <w:pPr>
        <w:spacing w:line="276" w:lineRule="auto"/>
        <w:ind w:left="2832"/>
      </w:pPr>
      <w:r>
        <w:rPr>
          <w:rFonts w:ascii="Times New Roman" w:eastAsia="Times New Roman" w:hAnsi="Times New Roman" w:cs="Times New Roman"/>
          <w:i/>
          <w:sz w:val="36"/>
          <w:szCs w:val="36"/>
        </w:rPr>
        <w:t xml:space="preserve">  Armada Nacional</w:t>
      </w:r>
      <w:r>
        <w:t>.</w:t>
      </w:r>
    </w:p>
    <w:p w:rsidR="00221194" w:rsidRDefault="00921F34">
      <w:pPr>
        <w:spacing w:line="276" w:lineRule="auto"/>
      </w:pPr>
      <w:r>
        <w:rPr>
          <w:rFonts w:ascii="Times New Roman" w:eastAsia="Times New Roman" w:hAnsi="Times New Roman" w:cs="Times New Roman"/>
          <w:b/>
        </w:rPr>
        <w:t>1.</w:t>
      </w:r>
      <w:r>
        <w:rPr>
          <w:rFonts w:ascii="Times New Roman" w:eastAsia="Times New Roman" w:hAnsi="Times New Roman" w:cs="Times New Roman"/>
        </w:rPr>
        <w:t xml:space="preserve"> OBJETO DE LA CONTRATACIÓN:</w:t>
      </w:r>
      <w:r>
        <w:rPr>
          <w:rFonts w:ascii="Times New Roman" w:eastAsia="Times New Roman" w:hAnsi="Times New Roman" w:cs="Times New Roman"/>
          <w:u w:val="single"/>
        </w:rPr>
        <w:t xml:space="preserve"> </w:t>
      </w:r>
      <w:r w:rsidR="00FB59A0">
        <w:rPr>
          <w:rFonts w:ascii="Times New Roman" w:eastAsia="Times New Roman" w:hAnsi="Times New Roman" w:cs="Times New Roman"/>
          <w:b/>
          <w:bCs/>
          <w:u w:val="single"/>
        </w:rPr>
        <w:t xml:space="preserve">ADQ DE EQUIPAMIENTO </w:t>
      </w:r>
      <w:r w:rsidR="009257D7">
        <w:rPr>
          <w:rFonts w:ascii="Times New Roman" w:eastAsia="Times New Roman" w:hAnsi="Times New Roman" w:cs="Times New Roman"/>
          <w:b/>
          <w:bCs/>
          <w:u w:val="single"/>
        </w:rPr>
        <w:t>TÁCTICO Y DE SEGURIDAD PARA</w:t>
      </w:r>
      <w:r w:rsidR="00FB59A0">
        <w:rPr>
          <w:rFonts w:ascii="Times New Roman" w:eastAsia="Times New Roman" w:hAnsi="Times New Roman" w:cs="Times New Roman"/>
          <w:b/>
          <w:bCs/>
          <w:u w:val="single"/>
        </w:rPr>
        <w:t xml:space="preserve"> SELAR</w:t>
      </w:r>
    </w:p>
    <w:tbl>
      <w:tblPr>
        <w:tblW w:w="106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00" w:firstRow="0" w:lastRow="0" w:firstColumn="0" w:lastColumn="0" w:noHBand="0" w:noVBand="1"/>
      </w:tblPr>
      <w:tblGrid>
        <w:gridCol w:w="709"/>
        <w:gridCol w:w="1135"/>
        <w:gridCol w:w="2611"/>
        <w:gridCol w:w="4193"/>
        <w:gridCol w:w="1984"/>
      </w:tblGrid>
      <w:tr w:rsidR="001D13F5" w:rsidTr="005109A5">
        <w:trPr>
          <w:trHeight w:val="37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D13F5" w:rsidRDefault="001D13F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D13F5" w:rsidRDefault="001D13F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1D13F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4193" w:type="dxa"/>
            <w:tcBorders>
              <w:top w:val="single" w:sz="4" w:space="0" w:color="000001"/>
              <w:left w:val="single" w:sz="4" w:space="0" w:color="000001"/>
              <w:bottom w:val="single" w:sz="4" w:space="0" w:color="000001"/>
              <w:right w:val="single" w:sz="4" w:space="0" w:color="000001"/>
            </w:tcBorders>
          </w:tcPr>
          <w:p w:rsidR="001D13F5" w:rsidRDefault="001D13F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DESCRIPCION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1D13F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1D13F5"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1D13F5">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D13F5" w:rsidRDefault="00843E3B">
            <w:pPr>
              <w:spacing w:line="276" w:lineRule="auto"/>
              <w:jc w:val="center"/>
            </w:pPr>
            <w:r>
              <w:t>33553</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843E3B" w:rsidP="00E8606D">
            <w:pPr>
              <w:spacing w:after="0" w:line="240" w:lineRule="auto"/>
              <w:jc w:val="center"/>
            </w:pPr>
            <w:r w:rsidRPr="00843E3B">
              <w:t>Probador de cámaras para CCTV</w:t>
            </w:r>
          </w:p>
        </w:tc>
        <w:tc>
          <w:tcPr>
            <w:tcW w:w="4193" w:type="dxa"/>
            <w:tcBorders>
              <w:top w:val="single" w:sz="4" w:space="0" w:color="000001"/>
              <w:left w:val="single" w:sz="4" w:space="0" w:color="000001"/>
              <w:bottom w:val="single" w:sz="4" w:space="0" w:color="000001"/>
              <w:right w:val="single" w:sz="4" w:space="0" w:color="000001"/>
            </w:tcBorders>
          </w:tcPr>
          <w:p w:rsidR="001D13F5" w:rsidRDefault="00843E3B">
            <w:pPr>
              <w:spacing w:after="0" w:line="276" w:lineRule="auto"/>
              <w:jc w:val="center"/>
            </w:pPr>
            <w:r w:rsidRPr="00843E3B">
              <w:t xml:space="preserve">HDMI, VGA, BNC, </w:t>
            </w:r>
            <w:proofErr w:type="spellStart"/>
            <w:r w:rsidRPr="00843E3B">
              <w:t>Wifi</w:t>
            </w:r>
            <w:proofErr w:type="spellEnd"/>
            <w:r w:rsidRPr="00843E3B">
              <w:t xml:space="preserve">, </w:t>
            </w:r>
            <w:proofErr w:type="spellStart"/>
            <w:r w:rsidRPr="00843E3B">
              <w:t>PoE</w:t>
            </w:r>
            <w:proofErr w:type="spellEnd"/>
            <w:r w:rsidRPr="00843E3B">
              <w:t>, H265, Batería recargable interna</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1D13F5">
            <w:pPr>
              <w:spacing w:after="0" w:line="276" w:lineRule="auto"/>
              <w:jc w:val="center"/>
            </w:pPr>
            <w:r>
              <w:t>1</w:t>
            </w:r>
          </w:p>
        </w:tc>
      </w:tr>
      <w:tr w:rsidR="001D13F5"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1D13F5">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D13F5" w:rsidRDefault="00843E3B">
            <w:pPr>
              <w:spacing w:line="276" w:lineRule="auto"/>
              <w:jc w:val="center"/>
            </w:pPr>
            <w:r>
              <w:t>28014</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843E3B" w:rsidP="00E8606D">
            <w:pPr>
              <w:spacing w:after="0" w:line="240" w:lineRule="auto"/>
              <w:jc w:val="center"/>
            </w:pPr>
            <w:r w:rsidRPr="00843E3B">
              <w:t>Cable UTP cat6</w:t>
            </w:r>
          </w:p>
        </w:tc>
        <w:tc>
          <w:tcPr>
            <w:tcW w:w="4193" w:type="dxa"/>
            <w:tcBorders>
              <w:top w:val="single" w:sz="4" w:space="0" w:color="000001"/>
              <w:left w:val="single" w:sz="4" w:space="0" w:color="000001"/>
              <w:bottom w:val="single" w:sz="4" w:space="0" w:color="000001"/>
              <w:right w:val="single" w:sz="4" w:space="0" w:color="000001"/>
            </w:tcBorders>
          </w:tcPr>
          <w:p w:rsidR="001D13F5" w:rsidRDefault="00843E3B">
            <w:pPr>
              <w:spacing w:after="0" w:line="276" w:lineRule="auto"/>
              <w:jc w:val="center"/>
            </w:pPr>
            <w:r w:rsidRPr="00843E3B">
              <w:t>Bobina 302 metros</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843E3B">
            <w:pPr>
              <w:spacing w:after="0" w:line="276" w:lineRule="auto"/>
              <w:jc w:val="center"/>
            </w:pPr>
            <w:r>
              <w:t>2</w:t>
            </w:r>
          </w:p>
        </w:tc>
      </w:tr>
      <w:tr w:rsidR="001D13F5"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1D13F5">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D13F5" w:rsidRDefault="00843E3B">
            <w:pPr>
              <w:spacing w:line="276" w:lineRule="auto"/>
              <w:jc w:val="center"/>
            </w:pPr>
            <w:r w:rsidRPr="00843E3B">
              <w:t>68526</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843E3B" w:rsidP="00E8606D">
            <w:pPr>
              <w:spacing w:after="0" w:line="240" w:lineRule="auto"/>
              <w:jc w:val="center"/>
            </w:pPr>
            <w:r w:rsidRPr="00843E3B">
              <w:t>Cable FTP cat6</w:t>
            </w:r>
          </w:p>
        </w:tc>
        <w:tc>
          <w:tcPr>
            <w:tcW w:w="4193" w:type="dxa"/>
            <w:tcBorders>
              <w:top w:val="single" w:sz="4" w:space="0" w:color="000001"/>
              <w:left w:val="single" w:sz="4" w:space="0" w:color="000001"/>
              <w:bottom w:val="single" w:sz="4" w:space="0" w:color="000001"/>
              <w:right w:val="single" w:sz="4" w:space="0" w:color="000001"/>
            </w:tcBorders>
          </w:tcPr>
          <w:p w:rsidR="001D13F5" w:rsidRDefault="00843E3B">
            <w:pPr>
              <w:spacing w:after="0" w:line="276" w:lineRule="auto"/>
              <w:jc w:val="center"/>
            </w:pPr>
            <w:r w:rsidRPr="00843E3B">
              <w:t>Bobina 305 metros</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843E3B">
            <w:pPr>
              <w:spacing w:after="0" w:line="276" w:lineRule="auto"/>
              <w:jc w:val="center"/>
            </w:pPr>
            <w:r>
              <w:t>2</w:t>
            </w:r>
          </w:p>
        </w:tc>
      </w:tr>
      <w:tr w:rsidR="001D13F5"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1D13F5">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D13F5" w:rsidRDefault="009257D7">
            <w:pPr>
              <w:spacing w:line="276" w:lineRule="auto"/>
              <w:jc w:val="center"/>
            </w:pPr>
            <w:r w:rsidRPr="009257D7">
              <w:t>2189</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9257D7" w:rsidP="00E8606D">
            <w:pPr>
              <w:spacing w:after="0" w:line="240" w:lineRule="auto"/>
              <w:jc w:val="center"/>
            </w:pPr>
            <w:r w:rsidRPr="009257D7">
              <w:t xml:space="preserve">Conector </w:t>
            </w:r>
            <w:proofErr w:type="spellStart"/>
            <w:r w:rsidRPr="009257D7">
              <w:t>plug</w:t>
            </w:r>
            <w:proofErr w:type="spellEnd"/>
          </w:p>
        </w:tc>
        <w:tc>
          <w:tcPr>
            <w:tcW w:w="4193" w:type="dxa"/>
            <w:tcBorders>
              <w:top w:val="single" w:sz="4" w:space="0" w:color="000001"/>
              <w:left w:val="single" w:sz="4" w:space="0" w:color="000001"/>
              <w:bottom w:val="single" w:sz="4" w:space="0" w:color="000001"/>
              <w:right w:val="single" w:sz="4" w:space="0" w:color="000001"/>
            </w:tcBorders>
          </w:tcPr>
          <w:p w:rsidR="001D13F5" w:rsidRDefault="009257D7">
            <w:pPr>
              <w:spacing w:after="0" w:line="276" w:lineRule="auto"/>
              <w:jc w:val="center"/>
            </w:pPr>
            <w:r>
              <w:t>RJ 45</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1D13F5">
            <w:pPr>
              <w:spacing w:after="0" w:line="276" w:lineRule="auto"/>
              <w:jc w:val="center"/>
            </w:pPr>
            <w:r>
              <w:t>2</w:t>
            </w:r>
            <w:r w:rsidR="009257D7">
              <w:t>00</w:t>
            </w:r>
          </w:p>
        </w:tc>
      </w:tr>
      <w:tr w:rsidR="001D13F5"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1D13F5">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1D13F5" w:rsidRDefault="009257D7">
            <w:pPr>
              <w:spacing w:line="276" w:lineRule="auto"/>
              <w:jc w:val="center"/>
            </w:pPr>
            <w:r w:rsidRPr="009257D7">
              <w:t>27762</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9257D7" w:rsidP="00E8606D">
            <w:pPr>
              <w:spacing w:after="0" w:line="240" w:lineRule="auto"/>
              <w:jc w:val="center"/>
            </w:pPr>
            <w:r w:rsidRPr="009257D7">
              <w:t>Conector Jack</w:t>
            </w:r>
          </w:p>
        </w:tc>
        <w:tc>
          <w:tcPr>
            <w:tcW w:w="4193" w:type="dxa"/>
            <w:tcBorders>
              <w:top w:val="single" w:sz="4" w:space="0" w:color="000001"/>
              <w:left w:val="single" w:sz="4" w:space="0" w:color="000001"/>
              <w:bottom w:val="single" w:sz="4" w:space="0" w:color="000001"/>
              <w:right w:val="single" w:sz="4" w:space="0" w:color="000001"/>
            </w:tcBorders>
          </w:tcPr>
          <w:p w:rsidR="001D13F5" w:rsidRDefault="009257D7">
            <w:pPr>
              <w:spacing w:after="0" w:line="276" w:lineRule="auto"/>
              <w:jc w:val="center"/>
            </w:pPr>
            <w:r w:rsidRPr="009257D7">
              <w:t>RJ45</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1D13F5" w:rsidRDefault="009257D7">
            <w:pPr>
              <w:spacing w:after="0" w:line="276" w:lineRule="auto"/>
              <w:jc w:val="center"/>
            </w:pPr>
            <w:r>
              <w:t>30</w:t>
            </w:r>
          </w:p>
        </w:tc>
      </w:tr>
      <w:tr w:rsidR="009257D7"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57D7" w:rsidRPr="009257D7" w:rsidRDefault="009257D7">
            <w:pPr>
              <w:spacing w:line="276" w:lineRule="auto"/>
              <w:jc w:val="center"/>
            </w:pPr>
            <w:r w:rsidRPr="009257D7">
              <w:t>27762</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Pr="009257D7" w:rsidRDefault="009257D7" w:rsidP="00E8606D">
            <w:pPr>
              <w:spacing w:after="0" w:line="240" w:lineRule="auto"/>
              <w:jc w:val="center"/>
            </w:pPr>
            <w:r w:rsidRPr="009257D7">
              <w:t>Conector Jack</w:t>
            </w:r>
          </w:p>
        </w:tc>
        <w:tc>
          <w:tcPr>
            <w:tcW w:w="4193" w:type="dxa"/>
            <w:tcBorders>
              <w:top w:val="single" w:sz="4" w:space="0" w:color="000001"/>
              <w:left w:val="single" w:sz="4" w:space="0" w:color="000001"/>
              <w:bottom w:val="single" w:sz="4" w:space="0" w:color="000001"/>
              <w:right w:val="single" w:sz="4" w:space="0" w:color="000001"/>
            </w:tcBorders>
          </w:tcPr>
          <w:p w:rsidR="009257D7" w:rsidRPr="009257D7" w:rsidRDefault="009257D7">
            <w:pPr>
              <w:spacing w:after="0" w:line="276" w:lineRule="auto"/>
              <w:jc w:val="center"/>
            </w:pPr>
            <w:r w:rsidRPr="009257D7">
              <w:t>RJ45 para FTP</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pPr>
            <w:r>
              <w:t>30</w:t>
            </w:r>
          </w:p>
        </w:tc>
      </w:tr>
      <w:tr w:rsidR="009257D7"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57D7" w:rsidRPr="009257D7" w:rsidRDefault="009257D7">
            <w:pPr>
              <w:spacing w:line="276" w:lineRule="auto"/>
              <w:jc w:val="center"/>
            </w:pPr>
            <w:r w:rsidRPr="009257D7">
              <w:t>6701</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Pr="009257D7" w:rsidRDefault="009257D7" w:rsidP="00E8606D">
            <w:pPr>
              <w:spacing w:after="0" w:line="240" w:lineRule="auto"/>
              <w:jc w:val="center"/>
            </w:pPr>
            <w:r w:rsidRPr="009257D7">
              <w:t>Caja exterior de red</w:t>
            </w:r>
          </w:p>
        </w:tc>
        <w:tc>
          <w:tcPr>
            <w:tcW w:w="4193" w:type="dxa"/>
            <w:tcBorders>
              <w:top w:val="single" w:sz="4" w:space="0" w:color="000001"/>
              <w:left w:val="single" w:sz="4" w:space="0" w:color="000001"/>
              <w:bottom w:val="single" w:sz="4" w:space="0" w:color="000001"/>
              <w:right w:val="single" w:sz="4" w:space="0" w:color="000001"/>
            </w:tcBorders>
          </w:tcPr>
          <w:p w:rsidR="009257D7" w:rsidRPr="009257D7" w:rsidRDefault="009257D7">
            <w:pPr>
              <w:spacing w:after="0" w:line="276" w:lineRule="auto"/>
              <w:jc w:val="center"/>
            </w:pPr>
            <w:r w:rsidRPr="009257D7">
              <w:t xml:space="preserve">Modulo para </w:t>
            </w:r>
            <w:proofErr w:type="spellStart"/>
            <w:r w:rsidRPr="009257D7">
              <w:t>jack</w:t>
            </w:r>
            <w:proofErr w:type="spellEnd"/>
            <w:r w:rsidRPr="009257D7">
              <w:t xml:space="preserve">  RJ 45 (5cmx3cmx3cm)</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pPr>
            <w:r>
              <w:t>50</w:t>
            </w:r>
          </w:p>
        </w:tc>
      </w:tr>
      <w:tr w:rsidR="009257D7"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57D7" w:rsidRPr="009257D7" w:rsidRDefault="009257D7">
            <w:pPr>
              <w:spacing w:line="276" w:lineRule="auto"/>
              <w:jc w:val="center"/>
            </w:pPr>
            <w:r w:rsidRPr="009257D7">
              <w:t>7948</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Pr="009257D7" w:rsidRDefault="009257D7" w:rsidP="00E8606D">
            <w:pPr>
              <w:spacing w:after="0" w:line="240" w:lineRule="auto"/>
              <w:jc w:val="center"/>
            </w:pPr>
            <w:r w:rsidRPr="009257D7">
              <w:t>Caja exterior telefónica</w:t>
            </w:r>
          </w:p>
        </w:tc>
        <w:tc>
          <w:tcPr>
            <w:tcW w:w="4193" w:type="dxa"/>
            <w:tcBorders>
              <w:top w:val="single" w:sz="4" w:space="0" w:color="000001"/>
              <w:left w:val="single" w:sz="4" w:space="0" w:color="000001"/>
              <w:bottom w:val="single" w:sz="4" w:space="0" w:color="000001"/>
              <w:right w:val="single" w:sz="4" w:space="0" w:color="000001"/>
            </w:tcBorders>
          </w:tcPr>
          <w:p w:rsidR="009257D7" w:rsidRPr="009257D7" w:rsidRDefault="005109A5">
            <w:pPr>
              <w:spacing w:after="0" w:line="276" w:lineRule="auto"/>
              <w:jc w:val="center"/>
            </w:pPr>
            <w:r w:rsidRPr="009257D7">
              <w:t>Presentación</w:t>
            </w:r>
            <w:r w:rsidR="009257D7" w:rsidRPr="009257D7">
              <w:t xml:space="preserve"> (5,5cmx3,5cmx2,5cm)</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pPr>
            <w:r>
              <w:t>20</w:t>
            </w:r>
          </w:p>
        </w:tc>
      </w:tr>
      <w:tr w:rsidR="009257D7"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57D7" w:rsidRPr="009257D7" w:rsidRDefault="009257D7">
            <w:pPr>
              <w:spacing w:line="276" w:lineRule="auto"/>
              <w:jc w:val="center"/>
            </w:pPr>
            <w:r w:rsidRPr="009257D7">
              <w:t>7511</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Pr="009257D7" w:rsidRDefault="009257D7" w:rsidP="00E8606D">
            <w:pPr>
              <w:spacing w:after="0" w:line="240" w:lineRule="auto"/>
              <w:jc w:val="center"/>
            </w:pPr>
            <w:r w:rsidRPr="009257D7">
              <w:t>Protectores auditivos</w:t>
            </w:r>
          </w:p>
        </w:tc>
        <w:tc>
          <w:tcPr>
            <w:tcW w:w="4193" w:type="dxa"/>
            <w:tcBorders>
              <w:top w:val="single" w:sz="4" w:space="0" w:color="000001"/>
              <w:left w:val="single" w:sz="4" w:space="0" w:color="000001"/>
              <w:bottom w:val="single" w:sz="4" w:space="0" w:color="000001"/>
              <w:right w:val="single" w:sz="4" w:space="0" w:color="000001"/>
            </w:tcBorders>
          </w:tcPr>
          <w:p w:rsidR="009257D7" w:rsidRPr="009257D7" w:rsidRDefault="009257D7">
            <w:pPr>
              <w:spacing w:after="0" w:line="276" w:lineRule="auto"/>
              <w:jc w:val="center"/>
            </w:pPr>
            <w:r w:rsidRPr="009257D7">
              <w:t>Debe cumplir con la norma ANSI S3.19-1974. Para montaje en casco. SNR 30dB</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pPr>
            <w:r>
              <w:t>6</w:t>
            </w:r>
          </w:p>
        </w:tc>
      </w:tr>
      <w:tr w:rsidR="009257D7"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57D7" w:rsidRPr="009257D7" w:rsidRDefault="009257D7">
            <w:pPr>
              <w:spacing w:line="276" w:lineRule="auto"/>
              <w:jc w:val="center"/>
            </w:pPr>
            <w:r w:rsidRPr="009257D7">
              <w:t>1532</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Pr="009257D7" w:rsidRDefault="009257D7" w:rsidP="00E8606D">
            <w:pPr>
              <w:spacing w:after="0" w:line="240" w:lineRule="auto"/>
              <w:jc w:val="center"/>
            </w:pPr>
            <w:r w:rsidRPr="009257D7">
              <w:t>Casco de seguridad</w:t>
            </w:r>
          </w:p>
        </w:tc>
        <w:tc>
          <w:tcPr>
            <w:tcW w:w="4193" w:type="dxa"/>
            <w:tcBorders>
              <w:top w:val="single" w:sz="4" w:space="0" w:color="000001"/>
              <w:left w:val="single" w:sz="4" w:space="0" w:color="000001"/>
              <w:bottom w:val="single" w:sz="4" w:space="0" w:color="000001"/>
              <w:right w:val="single" w:sz="4" w:space="0" w:color="000001"/>
            </w:tcBorders>
          </w:tcPr>
          <w:p w:rsidR="009257D7" w:rsidRPr="009257D7" w:rsidRDefault="009257D7">
            <w:pPr>
              <w:spacing w:after="0" w:line="276" w:lineRule="auto"/>
              <w:jc w:val="center"/>
            </w:pPr>
            <w:r w:rsidRPr="009257D7">
              <w:t>Debe cumplir con la norma ANSI/ISEA Z89.1-</w:t>
            </w:r>
            <w:proofErr w:type="gramStart"/>
            <w:r w:rsidRPr="009257D7">
              <w:t>2009  Tipo</w:t>
            </w:r>
            <w:proofErr w:type="gramEnd"/>
            <w:r w:rsidRPr="009257D7">
              <w:t xml:space="preserve"> 1, Clase C, G y E. Que sea ajustable.</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pPr>
            <w:r>
              <w:t>6</w:t>
            </w:r>
          </w:p>
        </w:tc>
      </w:tr>
      <w:tr w:rsidR="009257D7"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57D7" w:rsidRPr="009257D7" w:rsidRDefault="00CF77FD">
            <w:pPr>
              <w:spacing w:line="276" w:lineRule="auto"/>
              <w:jc w:val="center"/>
            </w:pPr>
            <w:r>
              <w:t>16015</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Pr="009257D7" w:rsidRDefault="009257D7" w:rsidP="00E8606D">
            <w:pPr>
              <w:spacing w:after="0" w:line="240" w:lineRule="auto"/>
              <w:jc w:val="center"/>
            </w:pPr>
            <w:r w:rsidRPr="009257D7">
              <w:t>Lentes de seguridad</w:t>
            </w:r>
          </w:p>
        </w:tc>
        <w:tc>
          <w:tcPr>
            <w:tcW w:w="4193" w:type="dxa"/>
            <w:tcBorders>
              <w:top w:val="single" w:sz="4" w:space="0" w:color="000001"/>
              <w:left w:val="single" w:sz="4" w:space="0" w:color="000001"/>
              <w:bottom w:val="single" w:sz="4" w:space="0" w:color="000001"/>
              <w:right w:val="single" w:sz="4" w:space="0" w:color="000001"/>
            </w:tcBorders>
          </w:tcPr>
          <w:p w:rsidR="009257D7" w:rsidRPr="009257D7" w:rsidRDefault="009257D7">
            <w:pPr>
              <w:spacing w:after="0" w:line="276" w:lineRule="auto"/>
              <w:jc w:val="center"/>
            </w:pPr>
            <w:r w:rsidRPr="009257D7">
              <w:t>Transparentes. Protección UV de 99.9%. Protección contra alto impacto.</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pPr>
            <w:r>
              <w:t>6</w:t>
            </w:r>
          </w:p>
        </w:tc>
      </w:tr>
      <w:tr w:rsidR="009257D7"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57D7" w:rsidRPr="009257D7" w:rsidRDefault="009257D7">
            <w:pPr>
              <w:spacing w:line="276" w:lineRule="auto"/>
              <w:jc w:val="center"/>
            </w:pPr>
            <w:r w:rsidRPr="009257D7">
              <w:t>3278</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Pr="009257D7" w:rsidRDefault="009257D7" w:rsidP="00E8606D">
            <w:pPr>
              <w:spacing w:after="0" w:line="240" w:lineRule="auto"/>
              <w:jc w:val="center"/>
            </w:pPr>
            <w:r w:rsidRPr="009257D7">
              <w:t xml:space="preserve">Chaleco </w:t>
            </w:r>
            <w:proofErr w:type="spellStart"/>
            <w:r w:rsidRPr="009257D7">
              <w:t>reflectivo</w:t>
            </w:r>
            <w:proofErr w:type="spellEnd"/>
          </w:p>
        </w:tc>
        <w:tc>
          <w:tcPr>
            <w:tcW w:w="4193" w:type="dxa"/>
            <w:tcBorders>
              <w:top w:val="single" w:sz="4" w:space="0" w:color="000001"/>
              <w:left w:val="single" w:sz="4" w:space="0" w:color="000001"/>
              <w:bottom w:val="single" w:sz="4" w:space="0" w:color="000001"/>
              <w:right w:val="single" w:sz="4" w:space="0" w:color="000001"/>
            </w:tcBorders>
          </w:tcPr>
          <w:p w:rsidR="009257D7" w:rsidRPr="009257D7" w:rsidRDefault="009257D7">
            <w:pPr>
              <w:spacing w:after="0" w:line="276" w:lineRule="auto"/>
              <w:jc w:val="center"/>
            </w:pPr>
            <w:r w:rsidRPr="009257D7">
              <w:t xml:space="preserve">Color amarillo. Con cintas </w:t>
            </w:r>
            <w:r w:rsidR="00CF77FD" w:rsidRPr="009257D7">
              <w:t>reflectoras</w:t>
            </w:r>
            <w:r w:rsidRPr="009257D7">
              <w:t>. Cierre de velcro</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pPr>
            <w:r>
              <w:t>6</w:t>
            </w:r>
          </w:p>
        </w:tc>
      </w:tr>
      <w:tr w:rsidR="009257D7"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57D7" w:rsidRPr="009257D7" w:rsidRDefault="009257D7">
            <w:pPr>
              <w:spacing w:line="276" w:lineRule="auto"/>
              <w:jc w:val="center"/>
            </w:pPr>
            <w:r w:rsidRPr="009257D7">
              <w:t>67363</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Pr="009257D7" w:rsidRDefault="00CF77FD" w:rsidP="00E8606D">
            <w:pPr>
              <w:spacing w:after="0" w:line="240" w:lineRule="auto"/>
              <w:jc w:val="center"/>
            </w:pPr>
            <w:r w:rsidRPr="009257D7">
              <w:t>Arnés</w:t>
            </w:r>
            <w:r w:rsidR="009257D7" w:rsidRPr="009257D7">
              <w:t xml:space="preserve"> para trabajo en altura</w:t>
            </w:r>
          </w:p>
        </w:tc>
        <w:tc>
          <w:tcPr>
            <w:tcW w:w="4193" w:type="dxa"/>
            <w:tcBorders>
              <w:top w:val="single" w:sz="4" w:space="0" w:color="000001"/>
              <w:left w:val="single" w:sz="4" w:space="0" w:color="000001"/>
              <w:bottom w:val="single" w:sz="4" w:space="0" w:color="000001"/>
              <w:right w:val="single" w:sz="4" w:space="0" w:color="000001"/>
            </w:tcBorders>
          </w:tcPr>
          <w:p w:rsidR="009257D7" w:rsidRDefault="009257D7" w:rsidP="009257D7">
            <w:pPr>
              <w:spacing w:after="0" w:line="276" w:lineRule="auto"/>
              <w:jc w:val="center"/>
            </w:pPr>
            <w:r>
              <w:t xml:space="preserve">Debe cumplir la norma IRAM 3622-1.  </w:t>
            </w:r>
            <w:r w:rsidR="00CF77FD">
              <w:t>Arnés</w:t>
            </w:r>
            <w:r>
              <w:t xml:space="preserve"> con 3 puntos de anclaje, protección lumbar y portaherramientas.</w:t>
            </w:r>
          </w:p>
          <w:p w:rsidR="009257D7" w:rsidRDefault="009257D7" w:rsidP="009257D7">
            <w:pPr>
              <w:spacing w:after="0" w:line="276" w:lineRule="auto"/>
              <w:jc w:val="center"/>
            </w:pPr>
            <w:r>
              <w:t xml:space="preserve">Regulación rápida en piernas, pecho y cintura. Cinta </w:t>
            </w:r>
            <w:r w:rsidR="00CF77FD">
              <w:t>poliéster</w:t>
            </w:r>
            <w:r>
              <w:t xml:space="preserve"> alta tenacidad de 45mm de ancho.</w:t>
            </w:r>
          </w:p>
          <w:p w:rsidR="009257D7" w:rsidRDefault="009257D7" w:rsidP="009257D7">
            <w:pPr>
              <w:spacing w:after="0" w:line="276" w:lineRule="auto"/>
              <w:jc w:val="center"/>
            </w:pPr>
            <w:r>
              <w:t xml:space="preserve">Presillas para retener la cinta libre. Hebillas tipo ranura para una </w:t>
            </w:r>
            <w:r w:rsidR="00CF77FD">
              <w:t>fácil</w:t>
            </w:r>
            <w:r>
              <w:t xml:space="preserve"> colocación. Toma </w:t>
            </w:r>
            <w:r w:rsidR="00CF77FD">
              <w:t>antiácida</w:t>
            </w:r>
            <w:r>
              <w:t xml:space="preserve"> dorsal.</w:t>
            </w:r>
          </w:p>
          <w:p w:rsidR="009257D7" w:rsidRPr="009257D7" w:rsidRDefault="009257D7" w:rsidP="009257D7">
            <w:pPr>
              <w:spacing w:after="0" w:line="276" w:lineRule="auto"/>
              <w:jc w:val="center"/>
            </w:pPr>
            <w:r>
              <w:lastRenderedPageBreak/>
              <w:t>Dos argollas de posicionamiento a cada lado de la cintura.</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pPr>
            <w:r>
              <w:lastRenderedPageBreak/>
              <w:t>6</w:t>
            </w:r>
          </w:p>
        </w:tc>
      </w:tr>
      <w:tr w:rsidR="009257D7"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57D7" w:rsidRPr="009257D7" w:rsidRDefault="009257D7">
            <w:pPr>
              <w:spacing w:line="276" w:lineRule="auto"/>
              <w:jc w:val="center"/>
            </w:pPr>
            <w:r w:rsidRPr="009257D7">
              <w:t>10703</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Pr="009257D7" w:rsidRDefault="009257D7" w:rsidP="00E8606D">
            <w:pPr>
              <w:spacing w:after="0" w:line="240" w:lineRule="auto"/>
              <w:jc w:val="center"/>
            </w:pPr>
            <w:r w:rsidRPr="009257D7">
              <w:t>Guantes antiestática</w:t>
            </w:r>
          </w:p>
        </w:tc>
        <w:tc>
          <w:tcPr>
            <w:tcW w:w="4193" w:type="dxa"/>
            <w:tcBorders>
              <w:top w:val="single" w:sz="4" w:space="0" w:color="000001"/>
              <w:left w:val="single" w:sz="4" w:space="0" w:color="000001"/>
              <w:bottom w:val="single" w:sz="4" w:space="0" w:color="000001"/>
              <w:right w:val="single" w:sz="4" w:space="0" w:color="000001"/>
            </w:tcBorders>
          </w:tcPr>
          <w:p w:rsidR="009257D7" w:rsidRDefault="009257D7" w:rsidP="009257D7">
            <w:pPr>
              <w:spacing w:after="0" w:line="276" w:lineRule="auto"/>
              <w:jc w:val="center"/>
            </w:pPr>
            <w:r w:rsidRPr="009257D7">
              <w:t>Debe cumplir con la norma EN 1149-5:2008</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pPr>
            <w:r>
              <w:t>6</w:t>
            </w:r>
          </w:p>
        </w:tc>
      </w:tr>
      <w:tr w:rsidR="009257D7"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57D7" w:rsidRPr="009257D7" w:rsidRDefault="009257D7">
            <w:pPr>
              <w:spacing w:line="276" w:lineRule="auto"/>
              <w:jc w:val="center"/>
            </w:pPr>
            <w:r>
              <w:t>14479</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Pr="009257D7" w:rsidRDefault="009257D7" w:rsidP="00E8606D">
            <w:pPr>
              <w:spacing w:after="0" w:line="240" w:lineRule="auto"/>
              <w:jc w:val="center"/>
            </w:pPr>
            <w:r w:rsidRPr="009257D7">
              <w:t>Guantes</w:t>
            </w:r>
          </w:p>
        </w:tc>
        <w:tc>
          <w:tcPr>
            <w:tcW w:w="4193" w:type="dxa"/>
            <w:tcBorders>
              <w:top w:val="single" w:sz="4" w:space="0" w:color="000001"/>
              <w:left w:val="single" w:sz="4" w:space="0" w:color="000001"/>
              <w:bottom w:val="single" w:sz="4" w:space="0" w:color="000001"/>
              <w:right w:val="single" w:sz="4" w:space="0" w:color="000001"/>
            </w:tcBorders>
          </w:tcPr>
          <w:p w:rsidR="009257D7" w:rsidRPr="009257D7" w:rsidRDefault="009257D7" w:rsidP="009257D7">
            <w:pPr>
              <w:spacing w:after="0" w:line="276" w:lineRule="auto"/>
              <w:jc w:val="center"/>
            </w:pPr>
            <w:r w:rsidRPr="009257D7">
              <w:t>Microfibra y cuero</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pPr>
            <w:r>
              <w:t>5</w:t>
            </w:r>
          </w:p>
        </w:tc>
      </w:tr>
      <w:tr w:rsidR="009257D7" w:rsidTr="005109A5">
        <w:trPr>
          <w:trHeight w:val="567"/>
          <w:jc w:val="center"/>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9257D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257D7" w:rsidRDefault="009257D7">
            <w:pPr>
              <w:spacing w:line="276" w:lineRule="auto"/>
              <w:jc w:val="center"/>
            </w:pPr>
            <w:r w:rsidRPr="009257D7">
              <w:t>69944</w:t>
            </w:r>
          </w:p>
        </w:tc>
        <w:tc>
          <w:tcPr>
            <w:tcW w:w="2611"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Pr="009257D7" w:rsidRDefault="009257D7" w:rsidP="00E8606D">
            <w:pPr>
              <w:spacing w:after="0" w:line="240" w:lineRule="auto"/>
              <w:jc w:val="center"/>
            </w:pPr>
            <w:r w:rsidRPr="009257D7">
              <w:t>Silleta para trabajos en altura</w:t>
            </w:r>
          </w:p>
        </w:tc>
        <w:tc>
          <w:tcPr>
            <w:tcW w:w="4193" w:type="dxa"/>
            <w:tcBorders>
              <w:top w:val="single" w:sz="4" w:space="0" w:color="000001"/>
              <w:left w:val="single" w:sz="4" w:space="0" w:color="000001"/>
              <w:bottom w:val="single" w:sz="4" w:space="0" w:color="000001"/>
              <w:right w:val="single" w:sz="4" w:space="0" w:color="000001"/>
            </w:tcBorders>
          </w:tcPr>
          <w:p w:rsidR="009257D7" w:rsidRPr="009257D7" w:rsidRDefault="009257D7" w:rsidP="009257D7">
            <w:pPr>
              <w:spacing w:after="0" w:line="276" w:lineRule="auto"/>
              <w:jc w:val="center"/>
            </w:pPr>
            <w:r w:rsidRPr="009257D7">
              <w:t>Revestimiento de tela de alta resistencia. 4 argollas D. 40 cm de largo.</w:t>
            </w:r>
            <w:r>
              <w:t xml:space="preserve"> </w:t>
            </w:r>
            <w:r w:rsidRPr="009257D7">
              <w:t>Resistencia de peso de usuario de 59kg a 120 kg</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rsidR="009257D7" w:rsidRDefault="008572FB">
            <w:pPr>
              <w:spacing w:after="0" w:line="276" w:lineRule="auto"/>
              <w:jc w:val="center"/>
            </w:pPr>
            <w:r>
              <w:t>2</w:t>
            </w:r>
          </w:p>
        </w:tc>
      </w:tr>
    </w:tbl>
    <w:p w:rsidR="00221194" w:rsidRDefault="00221194">
      <w:pPr>
        <w:spacing w:line="276" w:lineRule="auto"/>
        <w:jc w:val="both"/>
        <w:rPr>
          <w:rFonts w:ascii="Times New Roman" w:eastAsia="Times New Roman" w:hAnsi="Times New Roman" w:cs="Times New Roman"/>
          <w:b/>
        </w:rPr>
      </w:pP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221194" w:rsidRDefault="00921F34">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Style w:val="EnlacedeInternet"/>
            <w:rFonts w:ascii="Times New Roman" w:eastAsia="Times New Roman" w:hAnsi="Times New Roman" w:cs="Times New Roma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ajunten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221194" w:rsidRDefault="00921F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221194" w:rsidRDefault="00921F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221194" w:rsidRDefault="00921F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221194" w:rsidRDefault="00921F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221194" w:rsidRDefault="00921F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221194" w:rsidRDefault="00921F34">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lastRenderedPageBreak/>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221194" w:rsidRDefault="00921F34">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221194" w:rsidRDefault="00921F34">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221194" w:rsidRDefault="00921F34">
      <w:pPr>
        <w:pStyle w:val="Ttulo2"/>
      </w:pPr>
      <w:r>
        <w:rPr>
          <w:rFonts w:ascii="Times New Roman" w:eastAsia="Times New Roman" w:hAnsi="Times New Roman" w:cs="Times New Roman"/>
          <w:b/>
        </w:rPr>
        <w:t>8.</w:t>
      </w:r>
      <w:r>
        <w:rPr>
          <w:rFonts w:ascii="Times New Roman" w:eastAsia="Times New Roman" w:hAnsi="Times New Roman" w:cs="Times New Roman"/>
        </w:rPr>
        <w:t xml:space="preserve"> Las consultas sobre especificaciones técnicas se harán al </w:t>
      </w:r>
      <w:r w:rsidR="00FB59A0">
        <w:rPr>
          <w:rFonts w:ascii="Times New Roman" w:eastAsia="Times New Roman" w:hAnsi="Times New Roman" w:cs="Times New Roman"/>
          <w:b/>
        </w:rPr>
        <w:t xml:space="preserve">Sr </w:t>
      </w:r>
      <w:r w:rsidR="009257D7">
        <w:rPr>
          <w:rFonts w:ascii="Times New Roman" w:eastAsia="Times New Roman" w:hAnsi="Times New Roman" w:cs="Times New Roman"/>
          <w:b/>
        </w:rPr>
        <w:t>Alférez</w:t>
      </w:r>
      <w:r w:rsidR="00FB59A0">
        <w:rPr>
          <w:rFonts w:ascii="Times New Roman" w:eastAsia="Times New Roman" w:hAnsi="Times New Roman" w:cs="Times New Roman"/>
          <w:b/>
        </w:rPr>
        <w:t xml:space="preserve"> de Navío</w:t>
      </w:r>
      <w:r w:rsidR="00126EBB">
        <w:rPr>
          <w:rFonts w:ascii="Times New Roman" w:eastAsia="Times New Roman" w:hAnsi="Times New Roman" w:cs="Times New Roman"/>
          <w:b/>
        </w:rPr>
        <w:t xml:space="preserve"> (CIME) </w:t>
      </w:r>
      <w:r w:rsidR="009257D7">
        <w:rPr>
          <w:rFonts w:ascii="Times New Roman" w:eastAsia="Times New Roman" w:hAnsi="Times New Roman" w:cs="Times New Roman"/>
          <w:b/>
        </w:rPr>
        <w:t>Juan</w:t>
      </w:r>
      <w:r w:rsidR="00126EBB">
        <w:rPr>
          <w:rFonts w:ascii="Times New Roman" w:eastAsia="Times New Roman" w:hAnsi="Times New Roman" w:cs="Times New Roman"/>
          <w:b/>
        </w:rPr>
        <w:t xml:space="preserve"> </w:t>
      </w:r>
      <w:r w:rsidR="009257D7">
        <w:rPr>
          <w:rFonts w:ascii="Times New Roman" w:eastAsia="Times New Roman" w:hAnsi="Times New Roman" w:cs="Times New Roman"/>
          <w:b/>
        </w:rPr>
        <w:t>RAMALLO</w:t>
      </w:r>
      <w:r>
        <w:rPr>
          <w:rFonts w:ascii="Times New Roman" w:eastAsia="Times New Roman" w:hAnsi="Times New Roman" w:cs="Times New Roman"/>
          <w:b/>
        </w:rPr>
        <w:t xml:space="preserve"> al Tel.: 09</w:t>
      </w:r>
      <w:r w:rsidR="009257D7">
        <w:rPr>
          <w:rFonts w:ascii="Times New Roman" w:eastAsia="Times New Roman" w:hAnsi="Times New Roman" w:cs="Times New Roman"/>
          <w:b/>
        </w:rPr>
        <w:t>9 678 913</w:t>
      </w:r>
      <w:r>
        <w:rPr>
          <w:rFonts w:ascii="Times New Roman" w:eastAsia="Times New Roman" w:hAnsi="Times New Roman" w:cs="Times New Roman"/>
          <w:b/>
        </w:rPr>
        <w:t>.</w:t>
      </w:r>
    </w:p>
    <w:p w:rsidR="00221194" w:rsidRDefault="00921F34">
      <w:pPr>
        <w:pStyle w:val="Ttulo2"/>
      </w:pPr>
      <w:r>
        <w:rPr>
          <w:rFonts w:ascii="Times New Roman" w:eastAsia="Times New Roman" w:hAnsi="Times New Roman" w:cs="Times New Roman"/>
          <w:b/>
          <w:bCs/>
        </w:rPr>
        <w:t>9.</w:t>
      </w:r>
      <w:r>
        <w:rPr>
          <w:rFonts w:ascii="Times New Roman" w:eastAsia="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221194" w:rsidRDefault="00921F34">
      <w:pPr>
        <w:spacing w:line="276" w:lineRule="auto"/>
        <w:jc w:val="both"/>
      </w:pPr>
      <w:r>
        <w:rPr>
          <w:rFonts w:ascii="Times New Roman" w:eastAsia="Times New Roman" w:hAnsi="Times New Roman" w:cs="Times New Roman"/>
          <w:b/>
        </w:rPr>
        <w:t xml:space="preserve">10. </w:t>
      </w:r>
      <w:r>
        <w:rPr>
          <w:rFonts w:ascii="Times New Roman" w:eastAsia="Times New Roman" w:hAnsi="Times New Roman" w:cs="Times New Roman"/>
        </w:rPr>
        <w:t xml:space="preserve">Se podrá cotizar bajo la modalidad </w:t>
      </w:r>
      <w:r>
        <w:rPr>
          <w:rFonts w:ascii="Times New Roman" w:eastAsia="Times New Roman" w:hAnsi="Times New Roman" w:cs="Times New Roman"/>
          <w:b/>
          <w:color w:val="000000"/>
        </w:rPr>
        <w:t>precio plaza</w:t>
      </w:r>
      <w:r w:rsidR="00586295">
        <w:rPr>
          <w:rFonts w:ascii="Times New Roman" w:eastAsia="Times New Roman" w:hAnsi="Times New Roman" w:cs="Times New Roman"/>
          <w:b/>
          <w:color w:val="000000"/>
        </w:rPr>
        <w:t xml:space="preserve"> </w:t>
      </w:r>
      <w:r w:rsidR="00A72650">
        <w:rPr>
          <w:rFonts w:ascii="Times New Roman" w:eastAsia="Times New Roman" w:hAnsi="Times New Roman" w:cs="Times New Roman"/>
          <w:b/>
          <w:color w:val="000000"/>
        </w:rPr>
        <w:t>(pesos uruguayos,</w:t>
      </w:r>
      <w:bookmarkStart w:id="0" w:name="_GoBack"/>
      <w:bookmarkEnd w:id="0"/>
      <w:r w:rsidR="00A72650">
        <w:rPr>
          <w:rFonts w:ascii="Times New Roman" w:eastAsia="Times New Roman" w:hAnsi="Times New Roman" w:cs="Times New Roman"/>
          <w:b/>
          <w:color w:val="000000"/>
        </w:rPr>
        <w:t xml:space="preserve"> en caso de cotizar en moneda extranjera será </w:t>
      </w:r>
      <w:r w:rsidR="00586295" w:rsidRPr="00586295">
        <w:rPr>
          <w:rFonts w:ascii="Times New Roman" w:eastAsia="Times New Roman" w:hAnsi="Times New Roman" w:cs="Times New Roman"/>
          <w:b/>
          <w:color w:val="000000"/>
        </w:rPr>
        <w:t>dólar pizarra vendedor)</w:t>
      </w:r>
      <w:r>
        <w:rPr>
          <w:rFonts w:ascii="Times New Roman" w:eastAsia="Times New Roman" w:hAnsi="Times New Roman" w:cs="Times New Roman"/>
          <w:b/>
          <w:color w:val="000000"/>
        </w:rPr>
        <w:t>.</w:t>
      </w:r>
    </w:p>
    <w:p w:rsidR="00221194" w:rsidRDefault="00921F34">
      <w:pPr>
        <w:spacing w:line="276" w:lineRule="auto"/>
        <w:jc w:val="both"/>
      </w:pPr>
      <w:r>
        <w:rPr>
          <w:rFonts w:ascii="Times New Roman" w:eastAsia="Times New Roman" w:hAnsi="Times New Roman" w:cs="Times New Roman"/>
          <w:b/>
        </w:rPr>
        <w:t>11.</w:t>
      </w:r>
      <w:r>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221194" w:rsidRDefault="00921F34">
      <w:pPr>
        <w:spacing w:line="276" w:lineRule="auto"/>
        <w:jc w:val="both"/>
      </w:pPr>
      <w:r>
        <w:rPr>
          <w:rFonts w:ascii="Times New Roman" w:eastAsia="Times New Roman" w:hAnsi="Times New Roman" w:cs="Times New Roman"/>
          <w:b/>
        </w:rPr>
        <w:t>12.</w:t>
      </w:r>
      <w:r>
        <w:rPr>
          <w:rFonts w:ascii="Times New Roman" w:eastAsia="Times New Roman" w:hAnsi="Times New Roman" w:cs="Times New Roman"/>
        </w:rPr>
        <w:t xml:space="preserve"> El plazo de mantenimiento de oferta no podrá ser inferior a </w:t>
      </w:r>
      <w:r>
        <w:rPr>
          <w:rFonts w:ascii="Times New Roman" w:eastAsia="Times New Roman" w:hAnsi="Times New Roman" w:cs="Times New Roman"/>
          <w:b/>
        </w:rPr>
        <w:t xml:space="preserve">90 </w:t>
      </w:r>
      <w:r>
        <w:rPr>
          <w:rFonts w:ascii="Times New Roman" w:eastAsia="Times New Roman" w:hAnsi="Times New Roman" w:cs="Times New Roman"/>
          <w:b/>
          <w:color w:val="000000"/>
          <w:highlight w:val="white"/>
        </w:rPr>
        <w:t>días</w:t>
      </w:r>
      <w:r>
        <w:rPr>
          <w:rFonts w:ascii="Times New Roman" w:eastAsia="Times New Roman" w:hAnsi="Times New Roman" w:cs="Times New Roman"/>
        </w:rPr>
        <w:t xml:space="preserve"> corridos a contar a partir del día siguiente a la apertura de ofertas. </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221194" w:rsidRDefault="00921F3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221194" w:rsidRDefault="00921F34">
      <w:pPr>
        <w:spacing w:line="276" w:lineRule="auto"/>
        <w:jc w:val="both"/>
      </w:pPr>
      <w:r>
        <w:rPr>
          <w:rFonts w:ascii="Times New Roman" w:eastAsia="Times New Roman" w:hAnsi="Times New Roman" w:cs="Times New Roman"/>
          <w:b/>
        </w:rPr>
        <w:t xml:space="preserve">13. </w:t>
      </w:r>
      <w:r>
        <w:rPr>
          <w:rFonts w:ascii="Times New Roman" w:eastAsia="Times New Roman" w:hAnsi="Times New Roman" w:cs="Times New Roman"/>
        </w:rPr>
        <w:t>La forma de pago será mediant</w:t>
      </w:r>
      <w:r>
        <w:rPr>
          <w:rFonts w:ascii="Times New Roman" w:eastAsia="Times New Roman" w:hAnsi="Times New Roman" w:cs="Times New Roman"/>
          <w:highlight w:val="white"/>
        </w:rPr>
        <w:t xml:space="preserve">e </w:t>
      </w:r>
      <w:r>
        <w:rPr>
          <w:rFonts w:ascii="Times New Roman" w:eastAsia="Times New Roman" w:hAnsi="Times New Roman" w:cs="Times New Roman"/>
          <w:b/>
          <w:highlight w:val="white"/>
        </w:rPr>
        <w:t>CRÉDITO</w:t>
      </w:r>
      <w:r>
        <w:rPr>
          <w:rFonts w:ascii="Times New Roman" w:eastAsia="Times New Roman" w:hAnsi="Times New Roman" w:cs="Times New Roman"/>
          <w:b/>
          <w:color w:val="000000"/>
          <w:highlight w:val="white"/>
        </w:rPr>
        <w:t xml:space="preserve"> SIIF</w:t>
      </w:r>
    </w:p>
    <w:p w:rsidR="00221194" w:rsidRDefault="00126EBB">
      <w:pPr>
        <w:spacing w:line="276" w:lineRule="auto"/>
        <w:jc w:val="both"/>
      </w:pPr>
      <w:r>
        <w:rPr>
          <w:rFonts w:ascii="Times New Roman" w:eastAsia="Times New Roman" w:hAnsi="Times New Roman" w:cs="Times New Roman"/>
          <w:b/>
        </w:rPr>
        <w:t>14</w:t>
      </w:r>
      <w:r w:rsidR="00921F34">
        <w:rPr>
          <w:rFonts w:ascii="Times New Roman" w:eastAsia="Times New Roman" w:hAnsi="Times New Roman" w:cs="Times New Roman"/>
          <w:b/>
        </w:rPr>
        <w:t>.</w:t>
      </w:r>
      <w:r w:rsidR="00921F34">
        <w:rPr>
          <w:rFonts w:ascii="Times New Roman" w:eastAsia="Times New Roman" w:hAnsi="Times New Roman" w:cs="Times New Roman"/>
        </w:rPr>
        <w:t xml:space="preserve"> </w:t>
      </w:r>
      <w:r w:rsidR="005E310E">
        <w:rPr>
          <w:rFonts w:ascii="Times New Roman" w:eastAsia="Times New Roman" w:hAnsi="Times New Roman" w:cs="Times New Roman"/>
        </w:rPr>
        <w:t xml:space="preserve">El </w:t>
      </w:r>
      <w:r w:rsidR="005E310E" w:rsidRPr="005E310E">
        <w:rPr>
          <w:rFonts w:ascii="Times New Roman" w:eastAsia="Times New Roman" w:hAnsi="Times New Roman" w:cs="Times New Roman"/>
        </w:rPr>
        <w:t xml:space="preserve">plazo </w:t>
      </w:r>
      <w:r w:rsidR="005E310E" w:rsidRPr="005E310E">
        <w:rPr>
          <w:rFonts w:eastAsia="Times New Roman" w:cs="Times New Roman"/>
        </w:rPr>
        <w:t>la entrega</w:t>
      </w:r>
      <w:r w:rsidR="005E310E" w:rsidRPr="005E310E">
        <w:rPr>
          <w:rFonts w:ascii="Times New Roman" w:eastAsia="Times New Roman" w:hAnsi="Times New Roman" w:cs="Times New Roman"/>
        </w:rPr>
        <w:t xml:space="preserve"> será </w:t>
      </w:r>
      <w:r w:rsidR="005E310E" w:rsidRPr="005E310E">
        <w:rPr>
          <w:rFonts w:eastAsia="Times New Roman" w:cs="Times New Roman"/>
          <w:b/>
        </w:rPr>
        <w:t>de 5 días hábiles</w:t>
      </w:r>
      <w:r w:rsidR="00921F34">
        <w:rPr>
          <w:rFonts w:ascii="Times New Roman" w:eastAsia="Times New Roman" w:hAnsi="Times New Roman" w:cs="Times New Roman"/>
        </w:rPr>
        <w:t xml:space="preserve">, desde el día siguiente hábil en que se hizo efectiva la entrega de la </w:t>
      </w:r>
      <w:r w:rsidR="00921F34">
        <w:rPr>
          <w:rFonts w:ascii="Times New Roman" w:eastAsia="Times New Roman" w:hAnsi="Times New Roman" w:cs="Times New Roman"/>
          <w:b/>
        </w:rPr>
        <w:t>Constancia de Afectación de Crédito (Orden de Compra).</w:t>
      </w:r>
    </w:p>
    <w:p w:rsidR="00221194" w:rsidRDefault="00126EBB">
      <w:pPr>
        <w:spacing w:line="276" w:lineRule="auto"/>
        <w:jc w:val="both"/>
      </w:pPr>
      <w:r>
        <w:rPr>
          <w:rFonts w:ascii="Times New Roman" w:eastAsia="Times New Roman" w:hAnsi="Times New Roman" w:cs="Times New Roman"/>
          <w:b/>
        </w:rPr>
        <w:t>15</w:t>
      </w:r>
      <w:r w:rsidR="00921F34">
        <w:rPr>
          <w:rFonts w:ascii="Times New Roman" w:eastAsia="Times New Roman" w:hAnsi="Times New Roman" w:cs="Times New Roman"/>
          <w:b/>
        </w:rPr>
        <w:t>.</w:t>
      </w:r>
      <w:r w:rsidR="00921F34">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221194" w:rsidRDefault="00126EBB">
      <w:pPr>
        <w:spacing w:line="276" w:lineRule="auto"/>
        <w:jc w:val="both"/>
      </w:pPr>
      <w:r>
        <w:rPr>
          <w:rFonts w:ascii="Times New Roman" w:eastAsia="Times New Roman" w:hAnsi="Times New Roman" w:cs="Times New Roman"/>
          <w:b/>
        </w:rPr>
        <w:t>16</w:t>
      </w:r>
      <w:r w:rsidR="00921F34">
        <w:rPr>
          <w:rFonts w:ascii="Times New Roman" w:eastAsia="Times New Roman" w:hAnsi="Times New Roman" w:cs="Times New Roman"/>
          <w:b/>
        </w:rPr>
        <w:t>.</w:t>
      </w:r>
      <w:r w:rsidR="00921F34">
        <w:rPr>
          <w:rFonts w:ascii="Times New Roman" w:eastAsia="Times New Roman" w:hAnsi="Times New Roman" w:cs="Times New Roman"/>
        </w:rPr>
        <w:t xml:space="preserve"> La Administración se reserva el derecho de evaluar las ofertas de forma global o no y de adjudicar total o parcialmente la oferta.</w:t>
      </w:r>
    </w:p>
    <w:p w:rsidR="00221194" w:rsidRDefault="00221194">
      <w:pPr>
        <w:spacing w:line="276" w:lineRule="auto"/>
        <w:jc w:val="both"/>
        <w:rPr>
          <w:rFonts w:ascii="Times New Roman" w:eastAsia="Times New Roman" w:hAnsi="Times New Roman" w:cs="Times New Roman"/>
          <w:b/>
        </w:rPr>
      </w:pPr>
    </w:p>
    <w:p w:rsidR="00221194" w:rsidRDefault="00221194">
      <w:pPr>
        <w:spacing w:line="276" w:lineRule="auto"/>
        <w:jc w:val="both"/>
        <w:rPr>
          <w:rFonts w:ascii="Times New Roman" w:eastAsia="Times New Roman" w:hAnsi="Times New Roman" w:cs="Times New Roman"/>
          <w:b/>
        </w:rPr>
      </w:pPr>
    </w:p>
    <w:p w:rsidR="00221194" w:rsidRDefault="00921F34" w:rsidP="009257D7">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PONDERADORES</w:t>
      </w:r>
    </w:p>
    <w:tbl>
      <w:tblPr>
        <w:tblW w:w="671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400" w:firstRow="0" w:lastRow="0" w:firstColumn="0" w:lastColumn="0" w:noHBand="0" w:noVBand="1"/>
      </w:tblPr>
      <w:tblGrid>
        <w:gridCol w:w="3356"/>
        <w:gridCol w:w="3354"/>
      </w:tblGrid>
      <w:tr w:rsidR="00221194" w:rsidTr="009257D7">
        <w:trPr>
          <w:jc w:val="center"/>
        </w:trPr>
        <w:tc>
          <w:tcPr>
            <w:tcW w:w="335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221194" w:rsidRDefault="00921F34" w:rsidP="009257D7">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PRECIO</w:t>
            </w:r>
          </w:p>
        </w:tc>
        <w:tc>
          <w:tcPr>
            <w:tcW w:w="335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221194" w:rsidRDefault="00921F34" w:rsidP="009257D7">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221194" w:rsidTr="009257D7">
        <w:trPr>
          <w:jc w:val="center"/>
        </w:trPr>
        <w:tc>
          <w:tcPr>
            <w:tcW w:w="335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221194" w:rsidRDefault="00921F3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80%</w:t>
            </w:r>
          </w:p>
        </w:tc>
        <w:tc>
          <w:tcPr>
            <w:tcW w:w="335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221194" w:rsidRDefault="00921F3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rsidR="00221194" w:rsidRDefault="00221194">
      <w:pPr>
        <w:spacing w:line="276" w:lineRule="auto"/>
        <w:jc w:val="both"/>
        <w:rPr>
          <w:rFonts w:ascii="Times New Roman" w:eastAsia="Times New Roman" w:hAnsi="Times New Roman" w:cs="Times New Roman"/>
          <w:b/>
        </w:rPr>
      </w:pPr>
    </w:p>
    <w:p w:rsidR="005E310E" w:rsidRDefault="005E310E" w:rsidP="005E310E">
      <w:pPr>
        <w:numPr>
          <w:ilvl w:val="0"/>
          <w:numId w:val="5"/>
        </w:numPr>
        <w:suppressAutoHyphens/>
        <w:spacing w:after="200" w:line="360" w:lineRule="auto"/>
        <w:ind w:left="1134" w:firstLine="0"/>
        <w:jc w:val="both"/>
      </w:pPr>
      <w:r>
        <w:lastRenderedPageBreak/>
        <w:t xml:space="preserve">En referencia a los factores de ponderación cabe destacar que el factor PRECIO Y ANTECEDENTES NEGATIVOS se evaluaran de la siguiente manera: </w:t>
      </w:r>
    </w:p>
    <w:p w:rsidR="005E310E" w:rsidRPr="00B11385" w:rsidRDefault="005E310E" w:rsidP="005E310E">
      <w:pPr>
        <w:numPr>
          <w:ilvl w:val="0"/>
          <w:numId w:val="4"/>
        </w:numPr>
        <w:suppressAutoHyphens/>
        <w:spacing w:after="200" w:line="360" w:lineRule="auto"/>
        <w:jc w:val="both"/>
      </w:pPr>
      <w:r>
        <w:rPr>
          <w:b/>
        </w:rPr>
        <w:t xml:space="preserve">80% PRECIO: </w:t>
      </w:r>
      <w:r>
        <w:t>se evaluará otorgando mayor valor al menor precio ofertado de acuerdo a la siguiente fórmula: precio menor/precio a analizar x porcentaje de ponderación.</w:t>
      </w:r>
    </w:p>
    <w:p w:rsidR="005E310E" w:rsidRDefault="005E310E" w:rsidP="005E310E">
      <w:pPr>
        <w:numPr>
          <w:ilvl w:val="0"/>
          <w:numId w:val="4"/>
        </w:numPr>
        <w:suppressAutoHyphens/>
        <w:spacing w:after="0" w:line="360" w:lineRule="auto"/>
      </w:pPr>
      <w:r>
        <w:rPr>
          <w:b/>
        </w:rPr>
        <w:t xml:space="preserve">20 % ANTECEDENTES NEGATIVOS DEL OFERENTE EN CONTRATACIONES CON EL ESTADO: </w:t>
      </w:r>
      <w:r>
        <w:t>Se valorará la información disponible en el RUPE, obteniendo el total del 20% si no existen incumplimientos, 10% si existe uno, en caso de poseer más de uno se le otorgará puntaje 0.-</w:t>
      </w:r>
    </w:p>
    <w:p w:rsidR="00221194" w:rsidRDefault="00221194">
      <w:pPr>
        <w:spacing w:line="276" w:lineRule="auto"/>
        <w:jc w:val="both"/>
        <w:rPr>
          <w:rFonts w:ascii="Times New Roman" w:eastAsia="Times New Roman" w:hAnsi="Times New Roman" w:cs="Times New Roman"/>
          <w:b/>
        </w:rPr>
      </w:pPr>
    </w:p>
    <w:p w:rsidR="00221194" w:rsidRDefault="00126EBB">
      <w:pPr>
        <w:spacing w:line="276" w:lineRule="auto"/>
        <w:jc w:val="both"/>
      </w:pPr>
      <w:r>
        <w:rPr>
          <w:rFonts w:ascii="Times New Roman" w:eastAsia="Times New Roman" w:hAnsi="Times New Roman" w:cs="Times New Roman"/>
          <w:b/>
        </w:rPr>
        <w:t>17</w:t>
      </w:r>
      <w:r w:rsidR="00921F34">
        <w:rPr>
          <w:rFonts w:ascii="Times New Roman" w:eastAsia="Times New Roman" w:hAnsi="Times New Roman" w:cs="Times New Roman"/>
          <w:b/>
        </w:rPr>
        <w:t xml:space="preserve">. </w:t>
      </w:r>
      <w:r w:rsidR="00921F34">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221194" w:rsidRDefault="00126EBB">
      <w:pPr>
        <w:spacing w:line="276" w:lineRule="auto"/>
        <w:jc w:val="both"/>
      </w:pPr>
      <w:r>
        <w:rPr>
          <w:rFonts w:ascii="Times New Roman" w:eastAsia="Times New Roman" w:hAnsi="Times New Roman" w:cs="Times New Roman"/>
          <w:b/>
        </w:rPr>
        <w:t>18</w:t>
      </w:r>
      <w:r w:rsidR="00921F34">
        <w:rPr>
          <w:rFonts w:ascii="Times New Roman" w:eastAsia="Times New Roman" w:hAnsi="Times New Roman" w:cs="Times New Roman"/>
          <w:b/>
        </w:rPr>
        <w:t>.</w:t>
      </w:r>
      <w:r w:rsidR="00921F34">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221194" w:rsidRDefault="00126EBB">
      <w:pPr>
        <w:spacing w:line="276" w:lineRule="auto"/>
        <w:jc w:val="both"/>
      </w:pPr>
      <w:r>
        <w:rPr>
          <w:rFonts w:ascii="Times New Roman" w:eastAsia="Times New Roman" w:hAnsi="Times New Roman" w:cs="Times New Roman"/>
          <w:b/>
        </w:rPr>
        <w:t>19</w:t>
      </w:r>
      <w:r w:rsidR="00921F34">
        <w:rPr>
          <w:rFonts w:ascii="Times New Roman" w:eastAsia="Times New Roman" w:hAnsi="Times New Roman" w:cs="Times New Roman"/>
          <w:b/>
        </w:rPr>
        <w:t>.</w:t>
      </w:r>
      <w:r w:rsidR="00921F34">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221194">
      <w:pgSz w:w="11906" w:h="16838"/>
      <w:pgMar w:top="720" w:right="720" w:bottom="720" w:left="111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Times New Rom">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1429" w:hanging="360"/>
      </w:pPr>
      <w:rPr>
        <w:rFonts w:ascii="Noto Sans Symbols" w:hAnsi="Noto Sans Symbols" w:cs="Noto Sans Symbols"/>
        <w:b/>
        <w:position w:val="0"/>
        <w:sz w:val="22"/>
        <w:vertAlign w:val="baseline"/>
      </w:rPr>
    </w:lvl>
    <w:lvl w:ilvl="1">
      <w:start w:val="1"/>
      <w:numFmt w:val="bullet"/>
      <w:lvlText w:val="o"/>
      <w:lvlJc w:val="left"/>
      <w:pPr>
        <w:tabs>
          <w:tab w:val="num" w:pos="0"/>
        </w:tabs>
        <w:ind w:left="2149" w:hanging="360"/>
      </w:pPr>
      <w:rPr>
        <w:rFonts w:ascii="Courier New" w:hAnsi="Courier New" w:cs="Courier New"/>
        <w:position w:val="0"/>
        <w:sz w:val="24"/>
        <w:vertAlign w:val="baseline"/>
      </w:rPr>
    </w:lvl>
    <w:lvl w:ilvl="2">
      <w:start w:val="1"/>
      <w:numFmt w:val="bullet"/>
      <w:lvlText w:val="▪"/>
      <w:lvlJc w:val="left"/>
      <w:pPr>
        <w:tabs>
          <w:tab w:val="num" w:pos="0"/>
        </w:tabs>
        <w:ind w:left="2869" w:hanging="360"/>
      </w:pPr>
      <w:rPr>
        <w:rFonts w:ascii="Noto Sans Symbols" w:hAnsi="Noto Sans Symbols" w:cs="Noto Sans Symbols"/>
        <w:position w:val="0"/>
        <w:sz w:val="24"/>
        <w:vertAlign w:val="baseline"/>
      </w:rPr>
    </w:lvl>
    <w:lvl w:ilvl="3">
      <w:start w:val="1"/>
      <w:numFmt w:val="bullet"/>
      <w:lvlText w:val="●"/>
      <w:lvlJc w:val="left"/>
      <w:pPr>
        <w:tabs>
          <w:tab w:val="num" w:pos="0"/>
        </w:tabs>
        <w:ind w:left="3589" w:hanging="360"/>
      </w:pPr>
      <w:rPr>
        <w:rFonts w:ascii="Noto Sans Symbols" w:hAnsi="Noto Sans Symbols" w:cs="Noto Sans Symbols"/>
        <w:position w:val="0"/>
        <w:sz w:val="24"/>
        <w:vertAlign w:val="baseline"/>
      </w:rPr>
    </w:lvl>
    <w:lvl w:ilvl="4">
      <w:start w:val="1"/>
      <w:numFmt w:val="bullet"/>
      <w:lvlText w:val="o"/>
      <w:lvlJc w:val="left"/>
      <w:pPr>
        <w:tabs>
          <w:tab w:val="num" w:pos="0"/>
        </w:tabs>
        <w:ind w:left="4309" w:hanging="360"/>
      </w:pPr>
      <w:rPr>
        <w:rFonts w:ascii="Courier New" w:hAnsi="Courier New" w:cs="Courier New"/>
        <w:position w:val="0"/>
        <w:sz w:val="24"/>
        <w:vertAlign w:val="baseline"/>
      </w:rPr>
    </w:lvl>
    <w:lvl w:ilvl="5">
      <w:start w:val="1"/>
      <w:numFmt w:val="bullet"/>
      <w:lvlText w:val="▪"/>
      <w:lvlJc w:val="left"/>
      <w:pPr>
        <w:tabs>
          <w:tab w:val="num" w:pos="0"/>
        </w:tabs>
        <w:ind w:left="5029" w:hanging="360"/>
      </w:pPr>
      <w:rPr>
        <w:rFonts w:ascii="Noto Sans Symbols" w:hAnsi="Noto Sans Symbols" w:cs="Noto Sans Symbols"/>
        <w:position w:val="0"/>
        <w:sz w:val="24"/>
        <w:vertAlign w:val="baseline"/>
      </w:rPr>
    </w:lvl>
    <w:lvl w:ilvl="6">
      <w:start w:val="1"/>
      <w:numFmt w:val="bullet"/>
      <w:lvlText w:val="●"/>
      <w:lvlJc w:val="left"/>
      <w:pPr>
        <w:tabs>
          <w:tab w:val="num" w:pos="0"/>
        </w:tabs>
        <w:ind w:left="5749" w:hanging="360"/>
      </w:pPr>
      <w:rPr>
        <w:rFonts w:ascii="Noto Sans Symbols" w:hAnsi="Noto Sans Symbols" w:cs="Noto Sans Symbols"/>
        <w:position w:val="0"/>
        <w:sz w:val="24"/>
        <w:vertAlign w:val="baseline"/>
      </w:rPr>
    </w:lvl>
    <w:lvl w:ilvl="7">
      <w:start w:val="1"/>
      <w:numFmt w:val="bullet"/>
      <w:lvlText w:val="o"/>
      <w:lvlJc w:val="left"/>
      <w:pPr>
        <w:tabs>
          <w:tab w:val="num" w:pos="0"/>
        </w:tabs>
        <w:ind w:left="6469" w:hanging="360"/>
      </w:pPr>
      <w:rPr>
        <w:rFonts w:ascii="Courier New" w:hAnsi="Courier New" w:cs="Courier New"/>
        <w:position w:val="0"/>
        <w:sz w:val="24"/>
        <w:vertAlign w:val="baseline"/>
      </w:rPr>
    </w:lvl>
    <w:lvl w:ilvl="8">
      <w:start w:val="1"/>
      <w:numFmt w:val="bullet"/>
      <w:lvlText w:val="▪"/>
      <w:lvlJc w:val="left"/>
      <w:pPr>
        <w:tabs>
          <w:tab w:val="num" w:pos="0"/>
        </w:tabs>
        <w:ind w:left="7189" w:hanging="360"/>
      </w:pPr>
      <w:rPr>
        <w:rFonts w:ascii="Noto Sans Symbols" w:hAnsi="Noto Sans Symbols" w:cs="Noto Sans Symbols"/>
        <w:position w:val="0"/>
        <w:sz w:val="24"/>
        <w:vertAlign w:val="baseline"/>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421" w:hanging="360"/>
      </w:pPr>
      <w:rPr>
        <w:rFonts w:ascii="Noto Sans Symbols" w:hAnsi="Noto Sans Symbols" w:cs="Noto Sans Symbols"/>
        <w:position w:val="0"/>
        <w:sz w:val="22"/>
        <w:vertAlign w:val="baseline"/>
      </w:rPr>
    </w:lvl>
    <w:lvl w:ilvl="1">
      <w:start w:val="1"/>
      <w:numFmt w:val="bullet"/>
      <w:lvlText w:val="o"/>
      <w:lvlJc w:val="left"/>
      <w:pPr>
        <w:tabs>
          <w:tab w:val="num" w:pos="0"/>
        </w:tabs>
        <w:ind w:left="3141" w:hanging="360"/>
      </w:pPr>
      <w:rPr>
        <w:rFonts w:ascii="Courier New" w:hAnsi="Courier New" w:cs="Courier New"/>
        <w:position w:val="0"/>
        <w:sz w:val="24"/>
        <w:vertAlign w:val="baseline"/>
      </w:rPr>
    </w:lvl>
    <w:lvl w:ilvl="2">
      <w:start w:val="1"/>
      <w:numFmt w:val="bullet"/>
      <w:lvlText w:val="▪"/>
      <w:lvlJc w:val="left"/>
      <w:pPr>
        <w:tabs>
          <w:tab w:val="num" w:pos="0"/>
        </w:tabs>
        <w:ind w:left="3861" w:hanging="360"/>
      </w:pPr>
      <w:rPr>
        <w:rFonts w:ascii="Noto Sans Symbols" w:hAnsi="Noto Sans Symbols" w:cs="Noto Sans Symbols"/>
        <w:position w:val="0"/>
        <w:sz w:val="24"/>
        <w:vertAlign w:val="baseline"/>
      </w:rPr>
    </w:lvl>
    <w:lvl w:ilvl="3">
      <w:start w:val="1"/>
      <w:numFmt w:val="bullet"/>
      <w:lvlText w:val="●"/>
      <w:lvlJc w:val="left"/>
      <w:pPr>
        <w:tabs>
          <w:tab w:val="num" w:pos="0"/>
        </w:tabs>
        <w:ind w:left="4581" w:hanging="360"/>
      </w:pPr>
      <w:rPr>
        <w:rFonts w:ascii="Noto Sans Symbols" w:hAnsi="Noto Sans Symbols" w:cs="Noto Sans Symbols"/>
        <w:position w:val="0"/>
        <w:sz w:val="24"/>
        <w:vertAlign w:val="baseline"/>
      </w:rPr>
    </w:lvl>
    <w:lvl w:ilvl="4">
      <w:start w:val="1"/>
      <w:numFmt w:val="bullet"/>
      <w:lvlText w:val="o"/>
      <w:lvlJc w:val="left"/>
      <w:pPr>
        <w:tabs>
          <w:tab w:val="num" w:pos="0"/>
        </w:tabs>
        <w:ind w:left="5301" w:hanging="360"/>
      </w:pPr>
      <w:rPr>
        <w:rFonts w:ascii="Courier New" w:hAnsi="Courier New" w:cs="Courier New"/>
        <w:position w:val="0"/>
        <w:sz w:val="24"/>
        <w:vertAlign w:val="baseline"/>
      </w:rPr>
    </w:lvl>
    <w:lvl w:ilvl="5">
      <w:start w:val="1"/>
      <w:numFmt w:val="bullet"/>
      <w:lvlText w:val="▪"/>
      <w:lvlJc w:val="left"/>
      <w:pPr>
        <w:tabs>
          <w:tab w:val="num" w:pos="0"/>
        </w:tabs>
        <w:ind w:left="6021" w:hanging="360"/>
      </w:pPr>
      <w:rPr>
        <w:rFonts w:ascii="Noto Sans Symbols" w:hAnsi="Noto Sans Symbols" w:cs="Noto Sans Symbols"/>
        <w:position w:val="0"/>
        <w:sz w:val="24"/>
        <w:vertAlign w:val="baseline"/>
      </w:rPr>
    </w:lvl>
    <w:lvl w:ilvl="6">
      <w:start w:val="1"/>
      <w:numFmt w:val="bullet"/>
      <w:lvlText w:val="●"/>
      <w:lvlJc w:val="left"/>
      <w:pPr>
        <w:tabs>
          <w:tab w:val="num" w:pos="0"/>
        </w:tabs>
        <w:ind w:left="6741" w:hanging="360"/>
      </w:pPr>
      <w:rPr>
        <w:rFonts w:ascii="Noto Sans Symbols" w:hAnsi="Noto Sans Symbols" w:cs="Noto Sans Symbols"/>
        <w:position w:val="0"/>
        <w:sz w:val="24"/>
        <w:vertAlign w:val="baseline"/>
      </w:rPr>
    </w:lvl>
    <w:lvl w:ilvl="7">
      <w:start w:val="1"/>
      <w:numFmt w:val="bullet"/>
      <w:lvlText w:val="o"/>
      <w:lvlJc w:val="left"/>
      <w:pPr>
        <w:tabs>
          <w:tab w:val="num" w:pos="0"/>
        </w:tabs>
        <w:ind w:left="7461" w:hanging="360"/>
      </w:pPr>
      <w:rPr>
        <w:rFonts w:ascii="Courier New" w:hAnsi="Courier New" w:cs="Courier New"/>
        <w:position w:val="0"/>
        <w:sz w:val="24"/>
        <w:vertAlign w:val="baseline"/>
      </w:rPr>
    </w:lvl>
    <w:lvl w:ilvl="8">
      <w:start w:val="1"/>
      <w:numFmt w:val="bullet"/>
      <w:lvlText w:val="▪"/>
      <w:lvlJc w:val="left"/>
      <w:pPr>
        <w:tabs>
          <w:tab w:val="num" w:pos="0"/>
        </w:tabs>
        <w:ind w:left="8181" w:hanging="360"/>
      </w:pPr>
      <w:rPr>
        <w:rFonts w:ascii="Noto Sans Symbols" w:hAnsi="Noto Sans Symbols" w:cs="Noto Sans Symbols"/>
        <w:position w:val="0"/>
        <w:sz w:val="24"/>
        <w:vertAlign w:val="baseline"/>
      </w:rPr>
    </w:lvl>
  </w:abstractNum>
  <w:abstractNum w:abstractNumId="2" w15:restartNumberingAfterBreak="0">
    <w:nsid w:val="20F22D6B"/>
    <w:multiLevelType w:val="multilevel"/>
    <w:tmpl w:val="2F289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38C13D8"/>
    <w:multiLevelType w:val="multilevel"/>
    <w:tmpl w:val="F90A7D04"/>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A6666EA"/>
    <w:multiLevelType w:val="multilevel"/>
    <w:tmpl w:val="D89C75C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94"/>
    <w:rsid w:val="00126EBB"/>
    <w:rsid w:val="001D13F5"/>
    <w:rsid w:val="00221194"/>
    <w:rsid w:val="005109A5"/>
    <w:rsid w:val="00586295"/>
    <w:rsid w:val="005E310E"/>
    <w:rsid w:val="00806C90"/>
    <w:rsid w:val="00843E3B"/>
    <w:rsid w:val="008572FB"/>
    <w:rsid w:val="00921F34"/>
    <w:rsid w:val="009257D7"/>
    <w:rsid w:val="00A72650"/>
    <w:rsid w:val="00CF77FD"/>
    <w:rsid w:val="00E8606D"/>
    <w:rsid w:val="00FB59A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E0F34-8A9A-48AB-A4B2-F4437798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Cs w:val="22"/>
        <w:lang w:val="es-UY"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rPr>
      <w:sz w:val="22"/>
    </w:rPr>
  </w:style>
  <w:style w:type="paragraph" w:styleId="Ttulo1">
    <w:name w:val="heading 1"/>
    <w:basedOn w:val="Normal"/>
    <w:qFormat/>
    <w:rsid w:val="00133EAB"/>
    <w:pPr>
      <w:keepNext/>
      <w:keepLines/>
      <w:widowControl w:val="0"/>
      <w:spacing w:before="480" w:after="120"/>
      <w:outlineLvl w:val="0"/>
    </w:pPr>
    <w:rPr>
      <w:b/>
      <w:sz w:val="48"/>
      <w:szCs w:val="48"/>
    </w:rPr>
  </w:style>
  <w:style w:type="paragraph" w:styleId="Ttulo2">
    <w:name w:val="heading 2"/>
    <w:basedOn w:val="Normal"/>
    <w:qFormat/>
    <w:rsid w:val="001339E0"/>
    <w:pPr>
      <w:widowControl w:val="0"/>
      <w:outlineLvl w:val="1"/>
    </w:pPr>
  </w:style>
  <w:style w:type="paragraph" w:styleId="Ttulo3">
    <w:name w:val="heading 3"/>
    <w:basedOn w:val="Normal"/>
    <w:qFormat/>
    <w:rsid w:val="00133EAB"/>
    <w:pPr>
      <w:keepNext/>
      <w:keepLines/>
      <w:widowControl w:val="0"/>
      <w:spacing w:before="280" w:after="80"/>
      <w:outlineLvl w:val="2"/>
    </w:pPr>
    <w:rPr>
      <w:b/>
      <w:sz w:val="28"/>
      <w:szCs w:val="28"/>
    </w:rPr>
  </w:style>
  <w:style w:type="paragraph" w:styleId="Ttulo4">
    <w:name w:val="heading 4"/>
    <w:basedOn w:val="Normal"/>
    <w:qFormat/>
    <w:rsid w:val="00133EAB"/>
    <w:pPr>
      <w:keepNext/>
      <w:keepLines/>
      <w:widowControl w:val="0"/>
      <w:spacing w:before="240" w:after="40"/>
      <w:outlineLvl w:val="3"/>
    </w:pPr>
    <w:rPr>
      <w:b/>
      <w:sz w:val="24"/>
      <w:szCs w:val="24"/>
    </w:rPr>
  </w:style>
  <w:style w:type="paragraph" w:styleId="Ttulo5">
    <w:name w:val="heading 5"/>
    <w:basedOn w:val="Normal"/>
    <w:qFormat/>
    <w:rsid w:val="00133EAB"/>
    <w:pPr>
      <w:keepNext/>
      <w:keepLines/>
      <w:widowControl w:val="0"/>
      <w:spacing w:before="220" w:after="40"/>
      <w:outlineLvl w:val="4"/>
    </w:pPr>
    <w:rPr>
      <w:b/>
    </w:rPr>
  </w:style>
  <w:style w:type="paragraph" w:styleId="Ttulo6">
    <w:name w:val="heading 6"/>
    <w:basedOn w:val="Normal"/>
    <w:qFormat/>
    <w:rsid w:val="00133EAB"/>
    <w:pPr>
      <w:keepNext/>
      <w:keepLines/>
      <w:widowControl w:val="0"/>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character" w:customStyle="1" w:styleId="iceouttxt">
    <w:name w:val="iceouttxt"/>
    <w:basedOn w:val="Fuentedeprrafopredeter"/>
    <w:qFormat/>
    <w:rsid w:val="00D636DB"/>
  </w:style>
  <w:style w:type="character" w:customStyle="1" w:styleId="ListLabel231">
    <w:name w:val="ListLabel 231"/>
    <w:qFormat/>
    <w:rPr>
      <w:rFonts w:ascii="Times New Roman" w:eastAsia="Times New Roman" w:hAnsi="Times New Roman" w:cs="Times New Roman"/>
      <w:b/>
      <w:sz w:val="22"/>
      <w:szCs w:val="22"/>
    </w:rPr>
  </w:style>
  <w:style w:type="character" w:customStyle="1" w:styleId="ListLabel232">
    <w:name w:val="ListLabel 232"/>
    <w:qFormat/>
    <w:rPr>
      <w:rFonts w:ascii="Times New Roman" w:eastAsia="Times New Roman" w:hAnsi="Times New Roman" w:cs="Times New Roman"/>
      <w:b/>
      <w:sz w:val="22"/>
      <w:szCs w:val="22"/>
    </w:rPr>
  </w:style>
  <w:style w:type="character" w:customStyle="1" w:styleId="ListLabel233">
    <w:name w:val="ListLabel 233"/>
    <w:qFormat/>
    <w:rPr>
      <w:rFonts w:ascii="Times New Roman" w:eastAsia="Times New Roman" w:hAnsi="Times New Roman" w:cs="Times New Roman"/>
      <w:b/>
      <w:sz w:val="22"/>
      <w:szCs w:val="22"/>
    </w:rPr>
  </w:style>
  <w:style w:type="character" w:customStyle="1" w:styleId="ListLabel234">
    <w:name w:val="ListLabel 234"/>
    <w:qFormat/>
    <w:rPr>
      <w:rFonts w:ascii="Times New Roman" w:eastAsia="Times New Roman" w:hAnsi="Times New Roman" w:cs="Times New Roman"/>
      <w:b/>
      <w:sz w:val="22"/>
      <w:szCs w:val="22"/>
    </w:rPr>
  </w:style>
  <w:style w:type="character" w:customStyle="1" w:styleId="ListLabel235">
    <w:name w:val="ListLabel 235"/>
    <w:qFormat/>
    <w:rPr>
      <w:rFonts w:ascii="Times New Roman" w:eastAsia="Times New Roman" w:hAnsi="Times New Roman" w:cs="Times New Roman"/>
      <w:b/>
      <w:sz w:val="22"/>
      <w:szCs w:val="22"/>
    </w:rPr>
  </w:style>
  <w:style w:type="character" w:customStyle="1" w:styleId="ListLabel236">
    <w:name w:val="ListLabel 236"/>
    <w:qFormat/>
    <w:rPr>
      <w:rFonts w:cs="OpenSymbol"/>
      <w:sz w:val="22"/>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ascii="Times New Roman" w:eastAsia="Times New Roman" w:hAnsi="Times New Roman" w:cs="Times New Roman"/>
      <w:b/>
      <w:sz w:val="22"/>
      <w:szCs w:val="22"/>
    </w:rPr>
  </w:style>
  <w:style w:type="character" w:customStyle="1" w:styleId="ListLabel246">
    <w:name w:val="ListLabel 246"/>
    <w:qFormat/>
    <w:rPr>
      <w:rFonts w:cs="OpenSymbol"/>
      <w:sz w:val="22"/>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ascii="Times New Roman" w:eastAsia="Times New Roman" w:hAnsi="Times New Roman" w:cs="Times New Roman"/>
      <w:b/>
      <w:sz w:val="22"/>
      <w:szCs w:val="22"/>
    </w:rPr>
  </w:style>
  <w:style w:type="character" w:customStyle="1" w:styleId="ListLabel256">
    <w:name w:val="ListLabel 256"/>
    <w:qFormat/>
    <w:rPr>
      <w:rFonts w:cs="OpenSymbol"/>
      <w:sz w:val="22"/>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ascii="Times New Roman" w:eastAsia="Times New Roman" w:hAnsi="Times New Roman" w:cs="Times New Roman"/>
      <w:b/>
      <w:sz w:val="22"/>
      <w:szCs w:val="22"/>
    </w:rPr>
  </w:style>
  <w:style w:type="character" w:customStyle="1" w:styleId="ListLabel266">
    <w:name w:val="ListLabel 266"/>
    <w:qFormat/>
    <w:rPr>
      <w:rFonts w:cs="OpenSymbol"/>
      <w:sz w:val="22"/>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ascii="Times New Roman" w:eastAsia="Times New Roman" w:hAnsi="Times New Roman" w:cs="Times New Roman"/>
      <w:b/>
      <w:sz w:val="22"/>
      <w:szCs w:val="22"/>
    </w:rPr>
  </w:style>
  <w:style w:type="character" w:customStyle="1" w:styleId="ListLabel276">
    <w:name w:val="ListLabel 276"/>
    <w:qFormat/>
    <w:rPr>
      <w:rFonts w:cs="OpenSymbol"/>
      <w:sz w:val="22"/>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ascii="Times New Roman" w:eastAsia="Times New Roman" w:hAnsi="Times New Roman" w:cs="Times New Roman"/>
      <w:b/>
      <w:sz w:val="22"/>
      <w:szCs w:val="22"/>
    </w:rPr>
  </w:style>
  <w:style w:type="character" w:customStyle="1" w:styleId="ListLabel286">
    <w:name w:val="ListLabel 286"/>
    <w:qFormat/>
    <w:rPr>
      <w:rFonts w:cs="OpenSymbol"/>
      <w:sz w:val="22"/>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ascii="Times New Roman" w:eastAsia="Times New Roman" w:hAnsi="Times New Roman" w:cs="Times New Roman"/>
      <w:b/>
      <w:sz w:val="22"/>
      <w:szCs w:val="22"/>
    </w:rPr>
  </w:style>
  <w:style w:type="character" w:customStyle="1" w:styleId="ListLabel296">
    <w:name w:val="ListLabel 296"/>
    <w:qFormat/>
    <w:rPr>
      <w:rFonts w:cs="OpenSymbol"/>
      <w:sz w:val="22"/>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paragraph" w:styleId="Puest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Normal1">
    <w:name w:val="Normal1"/>
    <w:qFormat/>
    <w:rsid w:val="00133EAB"/>
    <w:rPr>
      <w:sz w:val="22"/>
    </w:rPr>
  </w:style>
  <w:style w:type="paragraph" w:customStyle="1" w:styleId="Ttulo10">
    <w:name w:val="Título1"/>
    <w:basedOn w:val="Normal"/>
    <w:qFormat/>
    <w:rsid w:val="001339E0"/>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paragraph" w:styleId="Subttulo">
    <w:name w:val="Subtitle"/>
    <w:basedOn w:val="Normal"/>
    <w:next w:val="Normal"/>
    <w:qFormat/>
    <w:rsid w:val="00133EAB"/>
    <w:pPr>
      <w:keepNext/>
      <w:keepLines/>
      <w:spacing w:before="360" w:after="80"/>
    </w:pPr>
    <w:rPr>
      <w:rFonts w:ascii="Georgia" w:eastAsia="Georgia" w:hAnsi="Georgia" w:cs="Georgia"/>
      <w:i/>
      <w:color w:val="666666"/>
      <w:sz w:val="48"/>
      <w:szCs w:val="48"/>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customStyle="1" w:styleId="TableNormal">
    <w:name w:val="Table Normal"/>
    <w:rsid w:val="00133EAB"/>
    <w:tblPr>
      <w:tblCellMar>
        <w:top w:w="0" w:type="dxa"/>
        <w:left w:w="0" w:type="dxa"/>
        <w:bottom w:w="0" w:type="dxa"/>
        <w:right w:w="0" w:type="dxa"/>
      </w:tblCellMar>
    </w:tblPr>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7793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uccar40</cp:lastModifiedBy>
  <cp:revision>2</cp:revision>
  <cp:lastPrinted>2020-06-01T21:04:00Z</cp:lastPrinted>
  <dcterms:created xsi:type="dcterms:W3CDTF">2020-08-07T11:37:00Z</dcterms:created>
  <dcterms:modified xsi:type="dcterms:W3CDTF">2020-08-07T11:37:00Z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