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51" w:rsidRDefault="00E27C51" w:rsidP="0032045C">
      <w:bookmarkStart w:id="0" w:name="_GoBack"/>
      <w:bookmarkEnd w:id="0"/>
    </w:p>
    <w:p w:rsidR="00666F64" w:rsidRDefault="00666F64" w:rsidP="00666F64"/>
    <w:p w:rsidR="009C0437" w:rsidRDefault="009C0437" w:rsidP="009C0437">
      <w:pPr>
        <w:pStyle w:val="Default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</w:rPr>
        <w:t>DIRECCION NACIONAL DE TELECOMUNICACIONES Y SERVICIOS DE COMUNICACION AUDIOVISUAL</w:t>
      </w:r>
    </w:p>
    <w:p w:rsidR="009C0437" w:rsidRDefault="009C0437" w:rsidP="009C0437">
      <w:pPr>
        <w:pStyle w:val="Default"/>
        <w:jc w:val="center"/>
        <w:rPr>
          <w:rFonts w:ascii="Arial" w:hAnsi="Arial" w:cs="Arial"/>
          <w:b/>
          <w:bCs/>
          <w:color w:val="00000A"/>
        </w:rPr>
      </w:pPr>
    </w:p>
    <w:p w:rsidR="009C0437" w:rsidRDefault="009C0437" w:rsidP="009C0437">
      <w:pPr>
        <w:pStyle w:val="Default"/>
        <w:jc w:val="center"/>
        <w:rPr>
          <w:rFonts w:ascii="Arial" w:hAnsi="Arial" w:cs="Arial"/>
          <w:color w:val="00000A"/>
        </w:rPr>
      </w:pPr>
    </w:p>
    <w:p w:rsidR="009C0437" w:rsidRDefault="009C0437" w:rsidP="009C0437">
      <w:pPr>
        <w:rPr>
          <w:rFonts w:ascii="Arial" w:hAnsi="Arial" w:cs="Arial"/>
          <w:b/>
          <w:bCs/>
          <w:szCs w:val="24"/>
        </w:rPr>
      </w:pPr>
      <w:r>
        <w:rPr>
          <w:b/>
          <w:bCs/>
          <w:szCs w:val="24"/>
        </w:rPr>
        <w:t>COMPRA DIRECTA   para la adquisición de “Disco</w:t>
      </w:r>
      <w:r w:rsidR="00E47C0D">
        <w:rPr>
          <w:b/>
          <w:bCs/>
          <w:szCs w:val="24"/>
        </w:rPr>
        <w:t xml:space="preserve"> estado sólido”</w:t>
      </w:r>
    </w:p>
    <w:p w:rsidR="009C0437" w:rsidRDefault="009C0437" w:rsidP="009C0437">
      <w:pPr>
        <w:keepNext/>
        <w:widowControl w:val="0"/>
        <w:numPr>
          <w:ilvl w:val="0"/>
          <w:numId w:val="1"/>
        </w:numPr>
        <w:spacing w:after="0"/>
        <w:jc w:val="both"/>
        <w:rPr>
          <w:rFonts w:eastAsia="Calibri"/>
          <w:color w:val="00000A"/>
          <w:sz w:val="24"/>
          <w:szCs w:val="24"/>
          <w:lang w:val="es-UY"/>
        </w:rPr>
      </w:pPr>
      <w:r>
        <w:rPr>
          <w:rFonts w:eastAsia="Calibri"/>
          <w:b/>
          <w:bCs/>
          <w:color w:val="00000A"/>
          <w:sz w:val="24"/>
          <w:szCs w:val="24"/>
          <w:lang w:val="es-UY"/>
        </w:rPr>
        <w:t>OBJETO</w:t>
      </w:r>
    </w:p>
    <w:p w:rsidR="009C0437" w:rsidRDefault="009C0437" w:rsidP="00932259">
      <w:pPr>
        <w:keepNext/>
        <w:widowControl w:val="0"/>
        <w:spacing w:line="360" w:lineRule="auto"/>
        <w:jc w:val="both"/>
        <w:rPr>
          <w:rFonts w:eastAsia="Calibri"/>
          <w:b/>
          <w:bCs/>
          <w:color w:val="00000A"/>
          <w:sz w:val="24"/>
          <w:szCs w:val="24"/>
          <w:lang w:val="es-UY"/>
        </w:rPr>
      </w:pPr>
      <w:r>
        <w:rPr>
          <w:rFonts w:eastAsia="Calibri"/>
          <w:color w:val="00000A"/>
          <w:sz w:val="24"/>
          <w:szCs w:val="24"/>
          <w:lang w:val="es-UY"/>
        </w:rPr>
        <w:t xml:space="preserve">El Ministerio de Industria, Energía y Minería (MIEM) llama a  </w:t>
      </w:r>
      <w:r w:rsidR="00932259">
        <w:rPr>
          <w:rFonts w:eastAsia="Calibri"/>
          <w:color w:val="00000A"/>
          <w:sz w:val="24"/>
          <w:szCs w:val="24"/>
          <w:lang w:val="es-UY"/>
        </w:rPr>
        <w:t>cotizar la Compra D</w:t>
      </w:r>
      <w:r>
        <w:rPr>
          <w:rFonts w:eastAsia="Calibri"/>
          <w:color w:val="00000A"/>
          <w:sz w:val="24"/>
          <w:szCs w:val="24"/>
          <w:lang w:val="es-UY"/>
        </w:rPr>
        <w:t xml:space="preserve">irecta </w:t>
      </w:r>
      <w:r w:rsidR="00932259">
        <w:rPr>
          <w:rFonts w:eastAsia="Calibri"/>
          <w:color w:val="00000A"/>
          <w:sz w:val="24"/>
          <w:szCs w:val="24"/>
          <w:lang w:val="es-UY"/>
        </w:rPr>
        <w:t xml:space="preserve">Nº </w:t>
      </w:r>
      <w:r w:rsidR="00E47C0D">
        <w:rPr>
          <w:rFonts w:eastAsia="Calibri"/>
          <w:color w:val="00000A"/>
          <w:sz w:val="24"/>
          <w:szCs w:val="24"/>
          <w:lang w:val="es-UY"/>
        </w:rPr>
        <w:t xml:space="preserve">519014 </w:t>
      </w:r>
      <w:r>
        <w:rPr>
          <w:rFonts w:eastAsia="Calibri"/>
          <w:color w:val="00000A"/>
          <w:sz w:val="24"/>
          <w:szCs w:val="24"/>
          <w:lang w:val="es-UY"/>
        </w:rPr>
        <w:t>para la adquisición de</w:t>
      </w:r>
      <w:r>
        <w:rPr>
          <w:lang w:val="es-UY"/>
        </w:rPr>
        <w:t xml:space="preserve"> </w:t>
      </w:r>
      <w:r w:rsidR="00804215">
        <w:rPr>
          <w:lang w:val="es-UY"/>
        </w:rPr>
        <w:t xml:space="preserve">dos (2) </w:t>
      </w:r>
      <w:r>
        <w:rPr>
          <w:lang w:val="es-UY"/>
        </w:rPr>
        <w:t xml:space="preserve">DISCO DURO   de estado sólido </w:t>
      </w:r>
      <w:r>
        <w:rPr>
          <w:rFonts w:eastAsia="Calibri"/>
          <w:color w:val="00000A"/>
          <w:sz w:val="24"/>
          <w:szCs w:val="24"/>
          <w:lang w:val="es-UY"/>
        </w:rPr>
        <w:t>para el Centro de Desarrollo de Contenido y Laboratorio de Televisión Digital  para la Dirección Nacional de Telecomunicaciones y Servicios de Comunicación Audiovisual.</w:t>
      </w:r>
    </w:p>
    <w:p w:rsidR="009C0437" w:rsidRDefault="009C0437" w:rsidP="009C0437">
      <w:pPr>
        <w:keepNext/>
        <w:widowControl w:val="0"/>
        <w:numPr>
          <w:ilvl w:val="0"/>
          <w:numId w:val="1"/>
        </w:numPr>
        <w:spacing w:after="0"/>
        <w:jc w:val="both"/>
        <w:rPr>
          <w:rFonts w:eastAsia="Calibri"/>
          <w:b/>
          <w:bCs/>
          <w:color w:val="00000A"/>
          <w:sz w:val="24"/>
          <w:szCs w:val="24"/>
          <w:lang w:val="es-UY"/>
        </w:rPr>
      </w:pPr>
      <w:r>
        <w:rPr>
          <w:rFonts w:eastAsia="Calibri"/>
          <w:b/>
          <w:bCs/>
          <w:caps/>
          <w:color w:val="00000A"/>
          <w:sz w:val="24"/>
          <w:szCs w:val="24"/>
          <w:lang w:val="es-UY"/>
        </w:rPr>
        <w:t xml:space="preserve"> Especificaciones</w:t>
      </w:r>
    </w:p>
    <w:p w:rsidR="009C0437" w:rsidRDefault="009C0437" w:rsidP="009C0437">
      <w:pPr>
        <w:keepNext/>
        <w:widowControl w:val="0"/>
        <w:spacing w:line="240" w:lineRule="auto"/>
        <w:rPr>
          <w:rFonts w:eastAsia="Calibri"/>
          <w:bCs/>
          <w:color w:val="00000A"/>
          <w:sz w:val="24"/>
          <w:szCs w:val="24"/>
          <w:lang w:val="es-UY"/>
        </w:rPr>
      </w:pPr>
      <w:r>
        <w:rPr>
          <w:rFonts w:eastAsia="Calibri"/>
          <w:bCs/>
          <w:color w:val="00000A"/>
          <w:sz w:val="24"/>
          <w:szCs w:val="24"/>
          <w:lang w:val="es-UY"/>
        </w:rPr>
        <w:t xml:space="preserve">A continuación se presentan los requerimientos específicos </w:t>
      </w:r>
      <w:r w:rsidR="00804215">
        <w:rPr>
          <w:rFonts w:eastAsia="Calibri"/>
          <w:bCs/>
          <w:color w:val="00000A"/>
          <w:sz w:val="24"/>
          <w:szCs w:val="24"/>
          <w:lang w:val="es-UY"/>
        </w:rPr>
        <w:t xml:space="preserve">el </w:t>
      </w:r>
      <w:r>
        <w:rPr>
          <w:rFonts w:eastAsia="Calibri"/>
          <w:bCs/>
          <w:color w:val="00000A"/>
          <w:sz w:val="24"/>
          <w:szCs w:val="24"/>
          <w:lang w:val="es-UY"/>
        </w:rPr>
        <w:t xml:space="preserve">ítem solicitado: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4215" w:rsidTr="008D5692">
        <w:tc>
          <w:tcPr>
            <w:tcW w:w="4247" w:type="dxa"/>
          </w:tcPr>
          <w:p w:rsidR="00804215" w:rsidRPr="009C0437" w:rsidRDefault="00804215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>
              <w:rPr>
                <w:rFonts w:eastAsia="Arial"/>
                <w:lang w:eastAsia="es-ES_tradnl"/>
              </w:rPr>
              <w:t>Cantidad</w:t>
            </w:r>
          </w:p>
        </w:tc>
        <w:tc>
          <w:tcPr>
            <w:tcW w:w="4247" w:type="dxa"/>
          </w:tcPr>
          <w:p w:rsidR="00804215" w:rsidRDefault="00804215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>
              <w:rPr>
                <w:rFonts w:eastAsia="Arial"/>
                <w:lang w:eastAsia="es-ES_tradnl"/>
              </w:rPr>
              <w:t>2</w:t>
            </w:r>
          </w:p>
        </w:tc>
      </w:tr>
      <w:tr w:rsidR="009C0437" w:rsidTr="008D5692"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 w:rsidRPr="009C0437">
              <w:rPr>
                <w:rFonts w:eastAsia="Arial"/>
                <w:lang w:eastAsia="es-ES_tradnl"/>
              </w:rPr>
              <w:t>Part Number</w:t>
            </w:r>
            <w:r w:rsidRPr="009C0437">
              <w:rPr>
                <w:rFonts w:eastAsia="Arial"/>
                <w:lang w:eastAsia="es-ES_tradnl"/>
              </w:rPr>
              <w:tab/>
            </w:r>
          </w:p>
        </w:tc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>
              <w:rPr>
                <w:rFonts w:eastAsia="Arial"/>
                <w:lang w:eastAsia="es-ES_tradnl"/>
              </w:rPr>
              <w:t xml:space="preserve">CT960BX500SSD1 </w:t>
            </w:r>
          </w:p>
        </w:tc>
      </w:tr>
      <w:tr w:rsidR="009C0437" w:rsidTr="008D5692"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 w:rsidRPr="009C0437">
              <w:rPr>
                <w:rFonts w:eastAsia="Arial"/>
                <w:lang w:eastAsia="es-ES_tradnl"/>
              </w:rPr>
              <w:t>Capacidad</w:t>
            </w:r>
            <w:r w:rsidRPr="009C0437">
              <w:rPr>
                <w:rFonts w:eastAsia="Arial"/>
                <w:lang w:eastAsia="es-ES_tradnl"/>
              </w:rPr>
              <w:tab/>
            </w:r>
          </w:p>
        </w:tc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>
              <w:rPr>
                <w:rFonts w:eastAsia="Arial"/>
                <w:lang w:eastAsia="es-ES_tradnl"/>
              </w:rPr>
              <w:t>960gb</w:t>
            </w:r>
          </w:p>
        </w:tc>
      </w:tr>
      <w:tr w:rsidR="009C0437" w:rsidTr="008D5692"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 w:rsidRPr="009C0437">
              <w:rPr>
                <w:rFonts w:eastAsia="Arial"/>
                <w:lang w:eastAsia="es-ES_tradnl"/>
              </w:rPr>
              <w:t>Tecnología</w:t>
            </w:r>
            <w:r w:rsidRPr="009C0437">
              <w:rPr>
                <w:rFonts w:eastAsia="Arial"/>
                <w:lang w:eastAsia="es-ES_tradnl"/>
              </w:rPr>
              <w:tab/>
            </w:r>
          </w:p>
        </w:tc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>
              <w:rPr>
                <w:rFonts w:eastAsia="Arial"/>
                <w:lang w:eastAsia="es-ES_tradnl"/>
              </w:rPr>
              <w:t>ssd</w:t>
            </w:r>
          </w:p>
        </w:tc>
      </w:tr>
      <w:tr w:rsidR="009C0437" w:rsidTr="008D5692"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 w:rsidRPr="009C0437">
              <w:rPr>
                <w:rFonts w:eastAsia="Arial"/>
                <w:lang w:eastAsia="es-ES_tradnl"/>
              </w:rPr>
              <w:t>Tipo</w:t>
            </w:r>
            <w:r w:rsidRPr="009C0437">
              <w:rPr>
                <w:rFonts w:eastAsia="Arial"/>
                <w:lang w:eastAsia="es-ES_tradnl"/>
              </w:rPr>
              <w:tab/>
            </w:r>
          </w:p>
        </w:tc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>
              <w:rPr>
                <w:rFonts w:eastAsia="Arial"/>
                <w:lang w:eastAsia="es-ES_tradnl"/>
              </w:rPr>
              <w:t>interno</w:t>
            </w:r>
          </w:p>
        </w:tc>
      </w:tr>
      <w:tr w:rsidR="009C0437" w:rsidTr="008D5692"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 w:rsidRPr="009C0437">
              <w:rPr>
                <w:rFonts w:eastAsia="Arial"/>
                <w:lang w:eastAsia="es-ES_tradnl"/>
              </w:rPr>
              <w:lastRenderedPageBreak/>
              <w:t>Tamaño</w:t>
            </w:r>
            <w:r w:rsidRPr="009C0437">
              <w:rPr>
                <w:rFonts w:eastAsia="Arial"/>
                <w:lang w:eastAsia="es-ES_tradnl"/>
              </w:rPr>
              <w:tab/>
            </w:r>
          </w:p>
        </w:tc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>
              <w:rPr>
                <w:rFonts w:eastAsia="Arial"/>
                <w:lang w:eastAsia="es-ES_tradnl"/>
              </w:rPr>
              <w:t>2.5"</w:t>
            </w:r>
          </w:p>
        </w:tc>
      </w:tr>
      <w:tr w:rsidR="009C0437" w:rsidTr="008D5692"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 w:rsidRPr="009C0437">
              <w:rPr>
                <w:rFonts w:eastAsia="Arial"/>
                <w:lang w:eastAsia="es-ES_tradnl"/>
              </w:rPr>
              <w:t>Interface</w:t>
            </w:r>
            <w:r w:rsidRPr="009C0437">
              <w:rPr>
                <w:rFonts w:eastAsia="Arial"/>
                <w:lang w:eastAsia="es-ES_tradnl"/>
              </w:rPr>
              <w:tab/>
            </w:r>
          </w:p>
        </w:tc>
        <w:tc>
          <w:tcPr>
            <w:tcW w:w="4247" w:type="dxa"/>
          </w:tcPr>
          <w:p w:rsidR="009C0437" w:rsidRDefault="00E47C0D" w:rsidP="00E47C0D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>
              <w:rPr>
                <w:rFonts w:eastAsia="Arial"/>
                <w:lang w:eastAsia="es-ES_tradnl"/>
              </w:rPr>
              <w:t>Sata 3.0</w:t>
            </w:r>
          </w:p>
        </w:tc>
      </w:tr>
      <w:tr w:rsidR="009C0437" w:rsidTr="008D5692"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 w:rsidRPr="009C0437">
              <w:rPr>
                <w:rFonts w:eastAsia="Arial"/>
                <w:lang w:eastAsia="es-ES_tradnl"/>
              </w:rPr>
              <w:t>Lectura Sec. Sost.</w:t>
            </w:r>
            <w:r w:rsidRPr="009C0437">
              <w:rPr>
                <w:rFonts w:eastAsia="Arial"/>
                <w:lang w:eastAsia="es-ES_tradnl"/>
              </w:rPr>
              <w:tab/>
            </w:r>
          </w:p>
        </w:tc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>
              <w:rPr>
                <w:rFonts w:eastAsia="Arial"/>
                <w:lang w:eastAsia="es-ES_tradnl"/>
              </w:rPr>
              <w:t>540 mb/s</w:t>
            </w:r>
          </w:p>
        </w:tc>
      </w:tr>
      <w:tr w:rsidR="009C0437" w:rsidTr="008D5692"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 w:rsidRPr="009C0437">
              <w:rPr>
                <w:rFonts w:eastAsia="Arial"/>
                <w:lang w:eastAsia="es-ES_tradnl"/>
              </w:rPr>
              <w:t>Escritura Sec. Sost.</w:t>
            </w:r>
            <w:r w:rsidRPr="009C0437">
              <w:rPr>
                <w:rFonts w:eastAsia="Arial"/>
                <w:lang w:eastAsia="es-ES_tradnl"/>
              </w:rPr>
              <w:tab/>
            </w:r>
          </w:p>
        </w:tc>
        <w:tc>
          <w:tcPr>
            <w:tcW w:w="4247" w:type="dxa"/>
          </w:tcPr>
          <w:p w:rsidR="009C0437" w:rsidRDefault="009C0437" w:rsidP="008D5692">
            <w:pPr>
              <w:keepNext/>
              <w:widowControl w:val="0"/>
              <w:spacing w:line="360" w:lineRule="auto"/>
              <w:jc w:val="both"/>
              <w:rPr>
                <w:rFonts w:eastAsia="Arial"/>
                <w:lang w:eastAsia="es-ES_tradnl"/>
              </w:rPr>
            </w:pPr>
            <w:r>
              <w:rPr>
                <w:rFonts w:eastAsia="Arial"/>
                <w:lang w:eastAsia="es-ES_tradnl"/>
              </w:rPr>
              <w:t>500 mb/s</w:t>
            </w:r>
          </w:p>
        </w:tc>
      </w:tr>
    </w:tbl>
    <w:p w:rsidR="009C0437" w:rsidRDefault="009C0437" w:rsidP="009C0437">
      <w:pPr>
        <w:jc w:val="both"/>
        <w:rPr>
          <w:rFonts w:eastAsia="Times New Roman"/>
          <w:b/>
          <w:kern w:val="2"/>
          <w:sz w:val="24"/>
          <w:szCs w:val="24"/>
          <w:u w:val="single"/>
          <w:lang w:eastAsia="ar-SA"/>
        </w:rPr>
      </w:pPr>
    </w:p>
    <w:p w:rsidR="009C0437" w:rsidRDefault="009C0437" w:rsidP="009C0437">
      <w:pPr>
        <w:rPr>
          <w:sz w:val="24"/>
          <w:szCs w:val="24"/>
          <w:lang w:val="es-UY"/>
        </w:rPr>
      </w:pPr>
      <w:bookmarkStart w:id="1" w:name="_Toc489535192"/>
      <w:r>
        <w:rPr>
          <w:b/>
          <w:sz w:val="24"/>
          <w:szCs w:val="24"/>
          <w:lang w:val="es-UY"/>
        </w:rPr>
        <w:t>Cotización:</w:t>
      </w:r>
    </w:p>
    <w:p w:rsidR="009C0437" w:rsidRDefault="009C0437" w:rsidP="009C0437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Los precios deberán necesariamente ser cotizados en la modalidad Plaza, en pesos uruguayos. Se deberán especificar todos los impuestos.</w:t>
      </w:r>
      <w:r w:rsidR="00932259">
        <w:rPr>
          <w:sz w:val="24"/>
          <w:szCs w:val="24"/>
          <w:lang w:val="es-UY"/>
        </w:rPr>
        <w:t xml:space="preserve"> </w:t>
      </w:r>
      <w:r>
        <w:rPr>
          <w:sz w:val="24"/>
          <w:szCs w:val="24"/>
          <w:lang w:val="es-UY"/>
        </w:rPr>
        <w:t>Cuando esta información no surja de la propuesta, se considerará que el precio cotizado incluye los impuestos que correspondan.</w:t>
      </w:r>
    </w:p>
    <w:p w:rsidR="009C0437" w:rsidRDefault="009C0437" w:rsidP="009C0437">
      <w:pPr>
        <w:rPr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Garantía:</w:t>
      </w:r>
    </w:p>
    <w:p w:rsidR="00932259" w:rsidRDefault="009C0437" w:rsidP="009C0437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La garantía deberá cubrir por lo menos un año desde la entrega de los </w:t>
      </w:r>
      <w:r w:rsidR="00932259">
        <w:rPr>
          <w:sz w:val="24"/>
          <w:szCs w:val="24"/>
          <w:lang w:val="es-UY"/>
        </w:rPr>
        <w:t>ítems</w:t>
      </w:r>
      <w:r>
        <w:rPr>
          <w:sz w:val="24"/>
          <w:szCs w:val="24"/>
          <w:lang w:val="es-UY"/>
        </w:rPr>
        <w:t xml:space="preserve"> suministrados. </w:t>
      </w:r>
    </w:p>
    <w:p w:rsidR="009C0437" w:rsidRDefault="009C0437" w:rsidP="009C0437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Se debe especificar plazo</w:t>
      </w:r>
      <w:r w:rsidR="00932259">
        <w:rPr>
          <w:sz w:val="24"/>
          <w:szCs w:val="24"/>
          <w:lang w:val="es-UY"/>
        </w:rPr>
        <w:t xml:space="preserve"> ofrecido</w:t>
      </w:r>
      <w:r>
        <w:rPr>
          <w:sz w:val="24"/>
          <w:szCs w:val="24"/>
          <w:lang w:val="es-UY"/>
        </w:rPr>
        <w:t xml:space="preserve"> y suministrar información de las condiciones.</w:t>
      </w:r>
    </w:p>
    <w:p w:rsidR="009C0437" w:rsidRDefault="009C0437" w:rsidP="009C0437">
      <w:pPr>
        <w:rPr>
          <w:sz w:val="24"/>
          <w:szCs w:val="24"/>
          <w:lang w:val="es-UY"/>
        </w:rPr>
      </w:pPr>
    </w:p>
    <w:p w:rsidR="00932259" w:rsidRDefault="00932259" w:rsidP="009C0437">
      <w:pPr>
        <w:rPr>
          <w:b/>
          <w:sz w:val="24"/>
          <w:szCs w:val="24"/>
          <w:lang w:val="es-UY"/>
        </w:rPr>
      </w:pPr>
    </w:p>
    <w:p w:rsidR="00932259" w:rsidRDefault="009C0437" w:rsidP="009C0437">
      <w:pPr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Plazo de entrega:</w:t>
      </w:r>
    </w:p>
    <w:p w:rsidR="009C0437" w:rsidRDefault="009C0437" w:rsidP="009C0437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Se debe aclarar el plazo</w:t>
      </w:r>
      <w:r w:rsidR="00A90423">
        <w:rPr>
          <w:sz w:val="24"/>
          <w:szCs w:val="24"/>
          <w:lang w:val="es-UY"/>
        </w:rPr>
        <w:t xml:space="preserve"> de entrega</w:t>
      </w:r>
      <w:r>
        <w:rPr>
          <w:sz w:val="24"/>
          <w:szCs w:val="24"/>
          <w:lang w:val="es-UY"/>
        </w:rPr>
        <w:t>.</w:t>
      </w:r>
    </w:p>
    <w:p w:rsidR="009C0437" w:rsidRDefault="009C0437" w:rsidP="009C0437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lastRenderedPageBreak/>
        <w:t>La entrega se deberá coordinar con Secretaría de MIEM Dinatel al teléfono 2840 1234 interno 5110.</w:t>
      </w:r>
    </w:p>
    <w:p w:rsidR="009C0437" w:rsidRDefault="009C0437" w:rsidP="009C0437">
      <w:pPr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 xml:space="preserve">Evaluación de ofertas y adjudicación: </w:t>
      </w:r>
    </w:p>
    <w:p w:rsidR="009C0437" w:rsidRDefault="009C0437" w:rsidP="009C0437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El estudio de las ofertas se realizará en base a la evaluación económica y al grado de cumplimiento de las condiciones anteriores. </w:t>
      </w:r>
    </w:p>
    <w:p w:rsidR="009C0437" w:rsidRDefault="009C0437" w:rsidP="009C0437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Se seleccionará la/s oferta/s más conveniente/s para los intereses y las necesidades del MIEM, aunque no sea la de menor precio.</w:t>
      </w:r>
      <w:bookmarkEnd w:id="1"/>
      <w:r w:rsidR="00E47C0D">
        <w:rPr>
          <w:sz w:val="24"/>
          <w:szCs w:val="24"/>
          <w:lang w:val="es-UY"/>
        </w:rPr>
        <w:t xml:space="preserve"> </w:t>
      </w:r>
    </w:p>
    <w:p w:rsidR="002D050A" w:rsidRPr="00666F64" w:rsidRDefault="002D050A" w:rsidP="0032045C">
      <w:pPr>
        <w:rPr>
          <w:sz w:val="24"/>
          <w:szCs w:val="24"/>
        </w:rPr>
      </w:pPr>
    </w:p>
    <w:sectPr w:rsidR="002D050A" w:rsidRPr="00666F6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41" w:rsidRDefault="00860B41" w:rsidP="0032045C">
      <w:pPr>
        <w:spacing w:after="0" w:line="240" w:lineRule="auto"/>
      </w:pPr>
      <w:r>
        <w:separator/>
      </w:r>
    </w:p>
  </w:endnote>
  <w:endnote w:type="continuationSeparator" w:id="0">
    <w:p w:rsidR="00860B41" w:rsidRDefault="00860B41" w:rsidP="0032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9C" w:rsidRDefault="0097239C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 wp14:anchorId="0D94B9EC" wp14:editId="1DAD5679">
          <wp:simplePos x="0" y="0"/>
          <wp:positionH relativeFrom="column">
            <wp:posOffset>53865</wp:posOffset>
          </wp:positionH>
          <wp:positionV relativeFrom="paragraph">
            <wp:posOffset>-117392</wp:posOffset>
          </wp:positionV>
          <wp:extent cx="5400040" cy="551815"/>
          <wp:effectExtent l="0" t="0" r="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na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41" w:rsidRDefault="00860B41" w:rsidP="0032045C">
      <w:pPr>
        <w:spacing w:after="0" w:line="240" w:lineRule="auto"/>
      </w:pPr>
      <w:r>
        <w:separator/>
      </w:r>
    </w:p>
  </w:footnote>
  <w:footnote w:type="continuationSeparator" w:id="0">
    <w:p w:rsidR="00860B41" w:rsidRDefault="00860B41" w:rsidP="0032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FD" w:rsidRDefault="004C09FD">
    <w:pPr>
      <w:pStyle w:val="Encabezado"/>
    </w:pPr>
  </w:p>
  <w:p w:rsidR="004C09FD" w:rsidRDefault="0059236B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2336" behindDoc="1" locked="0" layoutInCell="1" allowOverlap="1" wp14:anchorId="0092B564" wp14:editId="17456DBC">
          <wp:simplePos x="0" y="0"/>
          <wp:positionH relativeFrom="column">
            <wp:posOffset>-496570</wp:posOffset>
          </wp:positionH>
          <wp:positionV relativeFrom="paragraph">
            <wp:posOffset>313690</wp:posOffset>
          </wp:positionV>
          <wp:extent cx="1270635" cy="541020"/>
          <wp:effectExtent l="0" t="0" r="5715" b="0"/>
          <wp:wrapThrough wrapText="bothSides">
            <wp:wrapPolygon edited="0">
              <wp:start x="0" y="0"/>
              <wp:lineTo x="0" y="20535"/>
              <wp:lineTo x="21373" y="20535"/>
              <wp:lineTo x="21373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EM_ho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74"/>
    <w:rsid w:val="002912E7"/>
    <w:rsid w:val="002D050A"/>
    <w:rsid w:val="0032045C"/>
    <w:rsid w:val="003841D5"/>
    <w:rsid w:val="0048332C"/>
    <w:rsid w:val="004C09FD"/>
    <w:rsid w:val="00522D5B"/>
    <w:rsid w:val="0059236B"/>
    <w:rsid w:val="005E18DE"/>
    <w:rsid w:val="00601622"/>
    <w:rsid w:val="00654F8D"/>
    <w:rsid w:val="00666F64"/>
    <w:rsid w:val="006E188E"/>
    <w:rsid w:val="0071093A"/>
    <w:rsid w:val="00737836"/>
    <w:rsid w:val="00773637"/>
    <w:rsid w:val="007860E2"/>
    <w:rsid w:val="00804215"/>
    <w:rsid w:val="00860B41"/>
    <w:rsid w:val="00902AF1"/>
    <w:rsid w:val="0092272D"/>
    <w:rsid w:val="00932259"/>
    <w:rsid w:val="00937F57"/>
    <w:rsid w:val="0097239C"/>
    <w:rsid w:val="009C0437"/>
    <w:rsid w:val="00A90423"/>
    <w:rsid w:val="00AF7124"/>
    <w:rsid w:val="00B20374"/>
    <w:rsid w:val="00B46151"/>
    <w:rsid w:val="00B814AD"/>
    <w:rsid w:val="00C313CE"/>
    <w:rsid w:val="00CA6715"/>
    <w:rsid w:val="00D81508"/>
    <w:rsid w:val="00DE2311"/>
    <w:rsid w:val="00E1097D"/>
    <w:rsid w:val="00E27C51"/>
    <w:rsid w:val="00E47C0D"/>
    <w:rsid w:val="00EA14AB"/>
    <w:rsid w:val="00EE2520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5CEC6AE-B6E6-42A2-83C0-4D634923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4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0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45C"/>
  </w:style>
  <w:style w:type="paragraph" w:styleId="Piedepgina">
    <w:name w:val="footer"/>
    <w:basedOn w:val="Normal"/>
    <w:link w:val="PiedepginaCar"/>
    <w:uiPriority w:val="99"/>
    <w:unhideWhenUsed/>
    <w:rsid w:val="00320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45C"/>
  </w:style>
  <w:style w:type="paragraph" w:customStyle="1" w:styleId="Default">
    <w:name w:val="Default"/>
    <w:rsid w:val="009C0437"/>
    <w:pPr>
      <w:suppressAutoHyphens/>
      <w:spacing w:after="0" w:line="100" w:lineRule="atLeast"/>
    </w:pPr>
    <w:rPr>
      <w:rFonts w:ascii="Tahoma" w:eastAsia="Calibri" w:hAnsi="Tahoma" w:cs="Tahoma"/>
      <w:color w:val="000000"/>
      <w:kern w:val="2"/>
      <w:sz w:val="24"/>
      <w:szCs w:val="24"/>
      <w:lang w:val="es-UY" w:eastAsia="ar-SA"/>
    </w:rPr>
  </w:style>
  <w:style w:type="table" w:styleId="Tablaconcuadrcula">
    <w:name w:val="Table Grid"/>
    <w:basedOn w:val="Tablanormal"/>
    <w:uiPriority w:val="59"/>
    <w:rsid w:val="009C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E946-2809-4123-A54F-3363F7FC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Malcuori</dc:creator>
  <cp:lastModifiedBy>Nadia Veljacic</cp:lastModifiedBy>
  <cp:revision>2</cp:revision>
  <cp:lastPrinted>2019-04-01T19:46:00Z</cp:lastPrinted>
  <dcterms:created xsi:type="dcterms:W3CDTF">2019-04-11T12:43:00Z</dcterms:created>
  <dcterms:modified xsi:type="dcterms:W3CDTF">2019-04-11T12:43:00Z</dcterms:modified>
</cp:coreProperties>
</file>