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27" w:rsidRDefault="00FF4A27" w:rsidP="002A3CFA">
      <w:pPr>
        <w:jc w:val="center"/>
        <w:rPr>
          <w:rFonts w:ascii="Tahoma" w:hAnsi="Tahoma" w:cs="Tahoma"/>
          <w:b/>
          <w:color w:val="000000" w:themeColor="text1"/>
          <w:sz w:val="24"/>
          <w:szCs w:val="24"/>
        </w:rPr>
      </w:pPr>
      <w:r>
        <w:rPr>
          <w:rFonts w:ascii="Tahoma" w:hAnsi="Tahoma" w:cs="Tahoma"/>
          <w:b/>
          <w:noProof/>
          <w:color w:val="000000" w:themeColor="text1"/>
          <w:sz w:val="24"/>
          <w:szCs w:val="24"/>
          <w:lang w:eastAsia="es-UY"/>
        </w:rPr>
        <w:drawing>
          <wp:anchor distT="0" distB="0" distL="114300" distR="114300" simplePos="0" relativeHeight="251658240" behindDoc="0" locked="0" layoutInCell="1" allowOverlap="1">
            <wp:simplePos x="0" y="0"/>
            <wp:positionH relativeFrom="margin">
              <wp:posOffset>678</wp:posOffset>
            </wp:positionH>
            <wp:positionV relativeFrom="margin">
              <wp:posOffset>-257175</wp:posOffset>
            </wp:positionV>
            <wp:extent cx="1304925" cy="57942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M sin fond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579421"/>
                    </a:xfrm>
                    <a:prstGeom prst="rect">
                      <a:avLst/>
                    </a:prstGeom>
                  </pic:spPr>
                </pic:pic>
              </a:graphicData>
            </a:graphic>
          </wp:anchor>
        </w:drawing>
      </w:r>
    </w:p>
    <w:p w:rsidR="00FF4A27" w:rsidRDefault="00FF4A27" w:rsidP="002A3CFA">
      <w:pPr>
        <w:jc w:val="center"/>
        <w:rPr>
          <w:rFonts w:ascii="Tahoma" w:hAnsi="Tahoma" w:cs="Tahoma"/>
          <w:b/>
          <w:color w:val="000000" w:themeColor="text1"/>
          <w:sz w:val="24"/>
          <w:szCs w:val="24"/>
        </w:rPr>
      </w:pPr>
    </w:p>
    <w:p w:rsidR="00FF4A27" w:rsidRDefault="002A3CFA" w:rsidP="002A3CFA">
      <w:pPr>
        <w:jc w:val="center"/>
        <w:rPr>
          <w:rFonts w:ascii="Tahoma" w:hAnsi="Tahoma" w:cs="Tahoma"/>
          <w:b/>
          <w:color w:val="000000" w:themeColor="text1"/>
          <w:sz w:val="28"/>
          <w:szCs w:val="28"/>
        </w:rPr>
      </w:pPr>
      <w:r w:rsidRPr="00FF4A27">
        <w:rPr>
          <w:rFonts w:ascii="Tahoma" w:hAnsi="Tahoma" w:cs="Tahoma"/>
          <w:b/>
          <w:color w:val="000000" w:themeColor="text1"/>
          <w:sz w:val="28"/>
          <w:szCs w:val="28"/>
        </w:rPr>
        <w:t>Plan de comunicación estratégica</w:t>
      </w:r>
    </w:p>
    <w:p w:rsidR="002A3CFA" w:rsidRDefault="002A3CFA" w:rsidP="002A3CFA">
      <w:pPr>
        <w:jc w:val="center"/>
        <w:rPr>
          <w:rFonts w:ascii="Tahoma" w:hAnsi="Tahoma" w:cs="Tahoma"/>
          <w:b/>
          <w:color w:val="000000" w:themeColor="text1"/>
          <w:sz w:val="28"/>
          <w:szCs w:val="28"/>
        </w:rPr>
      </w:pPr>
      <w:r w:rsidRPr="00FF4A27">
        <w:rPr>
          <w:rFonts w:ascii="Tahoma" w:hAnsi="Tahoma" w:cs="Tahoma"/>
          <w:b/>
          <w:color w:val="000000" w:themeColor="text1"/>
          <w:sz w:val="28"/>
          <w:szCs w:val="28"/>
        </w:rPr>
        <w:t xml:space="preserve"> </w:t>
      </w:r>
      <w:proofErr w:type="gramStart"/>
      <w:r w:rsidRPr="00FF4A27">
        <w:rPr>
          <w:rFonts w:ascii="Tahoma" w:hAnsi="Tahoma" w:cs="Tahoma"/>
          <w:b/>
          <w:color w:val="000000" w:themeColor="text1"/>
          <w:sz w:val="28"/>
          <w:szCs w:val="28"/>
        </w:rPr>
        <w:t>y</w:t>
      </w:r>
      <w:proofErr w:type="gramEnd"/>
      <w:r w:rsidRPr="00FF4A27">
        <w:rPr>
          <w:rFonts w:ascii="Tahoma" w:hAnsi="Tahoma" w:cs="Tahoma"/>
          <w:b/>
          <w:color w:val="000000" w:themeColor="text1"/>
          <w:sz w:val="28"/>
          <w:szCs w:val="28"/>
        </w:rPr>
        <w:t xml:space="preserve"> capacitación en vocería</w:t>
      </w:r>
    </w:p>
    <w:p w:rsidR="00FF4A27" w:rsidRPr="00FF4A27" w:rsidRDefault="00FF4A27" w:rsidP="002A3CFA">
      <w:pPr>
        <w:jc w:val="center"/>
        <w:rPr>
          <w:rFonts w:ascii="Tahoma" w:hAnsi="Tahoma" w:cs="Tahoma"/>
          <w:b/>
          <w:color w:val="000000" w:themeColor="text1"/>
          <w:sz w:val="28"/>
          <w:szCs w:val="28"/>
        </w:rPr>
      </w:pP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numPr>
          <w:ilvl w:val="0"/>
          <w:numId w:val="1"/>
        </w:numPr>
        <w:jc w:val="both"/>
        <w:rPr>
          <w:rFonts w:ascii="Tahoma" w:hAnsi="Tahoma" w:cs="Tahoma"/>
          <w:b/>
          <w:color w:val="000000" w:themeColor="text1"/>
        </w:rPr>
      </w:pPr>
      <w:r w:rsidRPr="002A3CFA">
        <w:rPr>
          <w:rFonts w:ascii="Tahoma" w:hAnsi="Tahoma" w:cs="Tahoma"/>
          <w:b/>
          <w:color w:val="000000" w:themeColor="text1"/>
        </w:rPr>
        <w:t>Objeto y descripción.</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jc w:val="both"/>
        <w:rPr>
          <w:rFonts w:ascii="Tahoma" w:hAnsi="Tahoma" w:cs="Tahoma"/>
          <w:color w:val="000000" w:themeColor="text1"/>
        </w:rPr>
      </w:pPr>
      <w:r w:rsidRPr="002A3CFA">
        <w:rPr>
          <w:rFonts w:ascii="Tahoma" w:hAnsi="Tahoma" w:cs="Tahoma"/>
          <w:color w:val="000000" w:themeColor="text1"/>
        </w:rPr>
        <w:t>1.1 Antecedentes</w:t>
      </w:r>
    </w:p>
    <w:p w:rsidR="002A3CFA" w:rsidRPr="002A3CFA" w:rsidRDefault="002A3CFA" w:rsidP="002A3CFA">
      <w:pPr>
        <w:ind w:left="360"/>
        <w:jc w:val="both"/>
        <w:rPr>
          <w:rFonts w:ascii="Tahoma" w:hAnsi="Tahoma" w:cs="Tahoma"/>
          <w:color w:val="000000" w:themeColor="text1"/>
        </w:rPr>
      </w:pPr>
      <w:r w:rsidRPr="002A3CFA">
        <w:rPr>
          <w:rFonts w:ascii="Tahoma" w:hAnsi="Tahoma" w:cs="Tahoma"/>
          <w:color w:val="000000" w:themeColor="text1"/>
        </w:rPr>
        <w:t>El Ministerio de Industria, Energía y Minería (MIEM) definió una serie de lineamientos estratégicos para el período 2015-2020. Estos son los siguientes:</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Fortalecer la industria nacional, apoyando su desarrollo y participando activamente en su promoción, actuando como articulador entre actores de los diferentes sectores de las cadenas productivas (independientemente de su tamaño y condición de público o privado).</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Promover y desarrollar empresas micro, pequeñas y medianas, con especial énfasis en lo territorial y en la promoción del emprendedurismo.</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Ampliar la matriz productiva, avanzando hacia aumentar la proporción de industrias intensivas en conocimiento o con contenido medio o alto de tecnología.</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Incorporar conocimiento y valor tecnológico a todos los sectores de la matriz productiva, y promover la adquisición de capacidades transversales (pensamiento abstracto, computacional o científico) en estudiantes y jóvenes trabajadores.</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Actuar como articulador en los esfuerzos para superar la brecha entre academia, industria y sector público, avanzando en los lineamientos del PENCTI en un esquema de innovación abierta</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Continuar con el desarrollo de la infraestructura de telecomunicaciones, energética y digital pública</w:t>
      </w:r>
    </w:p>
    <w:p w:rsidR="002A3CFA" w:rsidRPr="002A3CFA" w:rsidRDefault="002A3CFA" w:rsidP="002A3CFA">
      <w:pPr>
        <w:pStyle w:val="Prrafodelista"/>
        <w:numPr>
          <w:ilvl w:val="0"/>
          <w:numId w:val="8"/>
        </w:numPr>
        <w:jc w:val="both"/>
        <w:rPr>
          <w:rFonts w:ascii="Tahoma" w:hAnsi="Tahoma" w:cs="Tahoma"/>
          <w:color w:val="000000" w:themeColor="text1"/>
        </w:rPr>
      </w:pPr>
      <w:r w:rsidRPr="002A3CFA">
        <w:rPr>
          <w:rFonts w:ascii="Tahoma" w:hAnsi="Tahoma" w:cs="Tahoma"/>
          <w:color w:val="000000" w:themeColor="text1"/>
        </w:rPr>
        <w:t>Continuar con la diversificación de la matriz energética del país</w:t>
      </w:r>
    </w:p>
    <w:p w:rsidR="002A3CFA" w:rsidRPr="002A3CFA" w:rsidRDefault="002A3CFA" w:rsidP="002A3CFA">
      <w:pPr>
        <w:ind w:left="360"/>
        <w:jc w:val="both"/>
        <w:rPr>
          <w:rFonts w:ascii="Tahoma" w:hAnsi="Tahoma" w:cs="Tahoma"/>
          <w:color w:val="000000" w:themeColor="text1"/>
        </w:rPr>
      </w:pPr>
    </w:p>
    <w:p w:rsidR="002A3CFA" w:rsidRPr="002A3CFA" w:rsidRDefault="002A3CFA" w:rsidP="002A3CFA">
      <w:pPr>
        <w:ind w:left="360" w:firstLine="348"/>
        <w:jc w:val="both"/>
        <w:rPr>
          <w:rFonts w:ascii="Tahoma" w:hAnsi="Tahoma" w:cs="Tahoma"/>
          <w:color w:val="000000" w:themeColor="text1"/>
        </w:rPr>
      </w:pPr>
      <w:r w:rsidRPr="002A3CFA">
        <w:rPr>
          <w:rFonts w:ascii="Tahoma" w:hAnsi="Tahoma" w:cs="Tahoma"/>
          <w:color w:val="000000" w:themeColor="text1"/>
        </w:rPr>
        <w:t>1.2 Objeto del llamado</w:t>
      </w:r>
    </w:p>
    <w:p w:rsidR="00576A28" w:rsidRDefault="002A3CFA" w:rsidP="002A3CFA">
      <w:pPr>
        <w:ind w:left="360"/>
        <w:jc w:val="both"/>
        <w:rPr>
          <w:rFonts w:ascii="Tahoma" w:hAnsi="Tahoma" w:cs="Tahoma"/>
          <w:color w:val="000000" w:themeColor="text1"/>
        </w:rPr>
      </w:pPr>
      <w:r w:rsidRPr="002A3CFA">
        <w:rPr>
          <w:rFonts w:ascii="Tahoma" w:hAnsi="Tahoma" w:cs="Tahoma"/>
          <w:color w:val="000000" w:themeColor="text1"/>
        </w:rPr>
        <w:t>El objeto del presente llamado es la contratación de una empresa consultora que realice un Plan Estratégico de Comunicación para el MIEM en 2018, orientad</w:t>
      </w:r>
      <w:r>
        <w:rPr>
          <w:rFonts w:ascii="Tahoma" w:hAnsi="Tahoma" w:cs="Tahoma"/>
          <w:color w:val="000000" w:themeColor="text1"/>
        </w:rPr>
        <w:t>o</w:t>
      </w:r>
      <w:r w:rsidRPr="002A3CFA">
        <w:rPr>
          <w:rFonts w:ascii="Tahoma" w:hAnsi="Tahoma" w:cs="Tahoma"/>
          <w:color w:val="000000" w:themeColor="text1"/>
        </w:rPr>
        <w:t xml:space="preserve"> a</w:t>
      </w:r>
      <w:r w:rsidR="00576A28">
        <w:rPr>
          <w:rFonts w:ascii="Tahoma" w:hAnsi="Tahoma" w:cs="Tahoma"/>
          <w:color w:val="000000" w:themeColor="text1"/>
        </w:rPr>
        <w:t xml:space="preserve"> la promoción de los lineamientos ya descriptos.</w:t>
      </w:r>
    </w:p>
    <w:p w:rsidR="002A3CFA" w:rsidRDefault="00576A28" w:rsidP="002A3CFA">
      <w:pPr>
        <w:ind w:left="360"/>
        <w:jc w:val="both"/>
        <w:rPr>
          <w:rFonts w:ascii="Tahoma" w:hAnsi="Tahoma" w:cs="Tahoma"/>
          <w:color w:val="000000" w:themeColor="text1"/>
        </w:rPr>
      </w:pPr>
      <w:r w:rsidRPr="002A3CFA">
        <w:rPr>
          <w:rFonts w:ascii="Tahoma" w:hAnsi="Tahoma" w:cs="Tahoma"/>
          <w:color w:val="000000" w:themeColor="text1"/>
        </w:rPr>
        <w:t xml:space="preserve"> </w:t>
      </w:r>
      <w:r w:rsidR="002A3CFA" w:rsidRPr="002A3CFA">
        <w:rPr>
          <w:rFonts w:ascii="Tahoma" w:hAnsi="Tahoma" w:cs="Tahoma"/>
          <w:color w:val="000000" w:themeColor="text1"/>
        </w:rPr>
        <w:t xml:space="preserve">El Plan Estratégico de Comunicación debe incluir la definición de posibles voceros, dentro de los miembros del MIEM, así como su preparación mediante un entrenamiento en vocería, que contemple aspectos teórico-prácticos.  </w:t>
      </w:r>
    </w:p>
    <w:p w:rsidR="00FF4A27" w:rsidRPr="002A3CFA" w:rsidRDefault="00FF4A27" w:rsidP="002A3CFA">
      <w:pPr>
        <w:ind w:left="360"/>
        <w:jc w:val="both"/>
        <w:rPr>
          <w:rFonts w:ascii="Tahoma" w:hAnsi="Tahoma" w:cs="Tahoma"/>
          <w:color w:val="000000" w:themeColor="text1"/>
        </w:rPr>
      </w:pPr>
    </w:p>
    <w:p w:rsidR="002A3CFA" w:rsidRPr="002A3CFA" w:rsidRDefault="002A3CFA" w:rsidP="002A3CFA">
      <w:pPr>
        <w:ind w:left="360"/>
        <w:jc w:val="both"/>
        <w:rPr>
          <w:rFonts w:ascii="Tahoma" w:hAnsi="Tahoma" w:cs="Tahoma"/>
          <w:color w:val="000000" w:themeColor="text1"/>
        </w:rPr>
      </w:pPr>
    </w:p>
    <w:p w:rsidR="002A3CFA" w:rsidRPr="002A3CFA" w:rsidRDefault="002A3CFA" w:rsidP="002A3CFA">
      <w:pPr>
        <w:ind w:left="360" w:firstLine="348"/>
        <w:jc w:val="both"/>
        <w:rPr>
          <w:rFonts w:ascii="Tahoma" w:hAnsi="Tahoma" w:cs="Tahoma"/>
          <w:color w:val="000000" w:themeColor="text1"/>
        </w:rPr>
      </w:pPr>
      <w:r w:rsidRPr="002A3CFA">
        <w:rPr>
          <w:rFonts w:ascii="Tahoma" w:hAnsi="Tahoma" w:cs="Tahoma"/>
          <w:color w:val="000000" w:themeColor="text1"/>
        </w:rPr>
        <w:lastRenderedPageBreak/>
        <w:t>1.3 Entregables</w:t>
      </w:r>
    </w:p>
    <w:p w:rsidR="002A3CFA" w:rsidRPr="002A3CFA" w:rsidRDefault="002A3CFA" w:rsidP="002A3CFA">
      <w:pPr>
        <w:ind w:left="360"/>
        <w:jc w:val="both"/>
        <w:rPr>
          <w:rFonts w:ascii="Tahoma" w:hAnsi="Tahoma" w:cs="Tahoma"/>
          <w:color w:val="000000" w:themeColor="text1"/>
        </w:rPr>
      </w:pPr>
      <w:r w:rsidRPr="002A3CFA">
        <w:rPr>
          <w:rFonts w:ascii="Tahoma" w:hAnsi="Tahoma" w:cs="Tahoma"/>
          <w:color w:val="000000" w:themeColor="text1"/>
        </w:rPr>
        <w:t>La consultoría comprende los siguientes trabajos y sus entregables asociados:</w:t>
      </w:r>
    </w:p>
    <w:p w:rsidR="002A3CFA" w:rsidRPr="002A3CFA" w:rsidRDefault="002A3CFA" w:rsidP="002A3CFA">
      <w:pPr>
        <w:pStyle w:val="Prrafodelista"/>
        <w:numPr>
          <w:ilvl w:val="0"/>
          <w:numId w:val="2"/>
        </w:numPr>
        <w:jc w:val="both"/>
        <w:rPr>
          <w:rFonts w:ascii="Tahoma" w:hAnsi="Tahoma" w:cs="Tahoma"/>
          <w:color w:val="000000" w:themeColor="text1"/>
        </w:rPr>
      </w:pPr>
      <w:r w:rsidRPr="002A3CFA">
        <w:rPr>
          <w:rFonts w:ascii="Tahoma" w:hAnsi="Tahoma" w:cs="Tahoma"/>
          <w:color w:val="000000" w:themeColor="text1"/>
        </w:rPr>
        <w:t xml:space="preserve">Plan estratégico de comunicación, que incluya: definición de hitos, públicos, cronograma, estrategia, voceros, mensajes, materiales de comunicación. </w:t>
      </w:r>
    </w:p>
    <w:p w:rsidR="002A3CFA" w:rsidRPr="002A3CFA" w:rsidRDefault="002A3CFA" w:rsidP="002A3CFA">
      <w:pPr>
        <w:pStyle w:val="Prrafodelista"/>
        <w:jc w:val="both"/>
        <w:rPr>
          <w:rFonts w:ascii="Tahoma" w:hAnsi="Tahoma" w:cs="Tahoma"/>
          <w:color w:val="000000" w:themeColor="text1"/>
        </w:rPr>
      </w:pPr>
      <w:r w:rsidRPr="002A3CFA">
        <w:rPr>
          <w:rFonts w:ascii="Tahoma" w:hAnsi="Tahoma" w:cs="Tahoma"/>
          <w:color w:val="000000" w:themeColor="text1"/>
        </w:rPr>
        <w:t>Entregable: Plan Estratégico de Comunicación 2018</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numPr>
          <w:ilvl w:val="0"/>
          <w:numId w:val="2"/>
        </w:numPr>
        <w:jc w:val="both"/>
        <w:rPr>
          <w:rFonts w:ascii="Tahoma" w:hAnsi="Tahoma" w:cs="Tahoma"/>
          <w:color w:val="000000" w:themeColor="text1"/>
        </w:rPr>
      </w:pPr>
      <w:r w:rsidRPr="002A3CFA">
        <w:rPr>
          <w:rFonts w:ascii="Tahoma" w:hAnsi="Tahoma" w:cs="Tahoma"/>
          <w:color w:val="000000" w:themeColor="text1"/>
        </w:rPr>
        <w:t>Taller de Vocería que comprenda sesiones teórico/prácticas para los voceros designados, que incluya la formación teórica vinculada al sistema de medios de comunicación y las técnicas de transmisión de información, y ejercitación de diferentes técnicas de entrevistas y aplicación de los mensajes de acuerdo con los objetivos de comunicación del MIEM.</w:t>
      </w:r>
    </w:p>
    <w:p w:rsidR="002A3CFA" w:rsidRPr="002A3CFA" w:rsidRDefault="002A3CFA" w:rsidP="002A3CFA">
      <w:pPr>
        <w:pStyle w:val="Prrafodelista"/>
        <w:jc w:val="both"/>
        <w:rPr>
          <w:rFonts w:ascii="Tahoma" w:hAnsi="Tahoma" w:cs="Tahoma"/>
          <w:color w:val="000000" w:themeColor="text1"/>
        </w:rPr>
      </w:pPr>
      <w:r w:rsidRPr="002A3CFA">
        <w:rPr>
          <w:rFonts w:ascii="Tahoma" w:hAnsi="Tahoma" w:cs="Tahoma"/>
          <w:color w:val="000000" w:themeColor="text1"/>
        </w:rPr>
        <w:t>Entregable: Hasta 4 entrenamientos.</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ind w:firstLine="696"/>
        <w:jc w:val="both"/>
        <w:rPr>
          <w:rFonts w:ascii="Tahoma" w:hAnsi="Tahoma" w:cs="Tahoma"/>
          <w:color w:val="000000" w:themeColor="text1"/>
        </w:rPr>
      </w:pPr>
      <w:r w:rsidRPr="002A3CFA">
        <w:rPr>
          <w:rFonts w:ascii="Tahoma" w:hAnsi="Tahoma" w:cs="Tahoma"/>
          <w:color w:val="000000" w:themeColor="text1"/>
        </w:rPr>
        <w:t>1.4 Plazos de entrega</w:t>
      </w:r>
    </w:p>
    <w:p w:rsidR="002A3CFA" w:rsidRPr="002A3CFA" w:rsidRDefault="002A3CFA" w:rsidP="002A3CFA">
      <w:pPr>
        <w:pStyle w:val="Prrafodelista"/>
        <w:jc w:val="both"/>
        <w:rPr>
          <w:rFonts w:ascii="Tahoma" w:hAnsi="Tahoma" w:cs="Tahoma"/>
          <w:color w:val="000000" w:themeColor="text1"/>
        </w:rPr>
      </w:pPr>
      <w:r w:rsidRPr="002A3CFA">
        <w:rPr>
          <w:rFonts w:ascii="Tahoma" w:hAnsi="Tahoma" w:cs="Tahoma"/>
          <w:color w:val="000000" w:themeColor="text1"/>
        </w:rPr>
        <w:t xml:space="preserve">Los plazos máximos para el cumplimiento de los servicios de la consultoría serán de cinco meses, contados a partir de la </w:t>
      </w:r>
      <w:r>
        <w:rPr>
          <w:rFonts w:ascii="Tahoma" w:hAnsi="Tahoma" w:cs="Tahoma"/>
          <w:color w:val="000000" w:themeColor="text1"/>
        </w:rPr>
        <w:t>adjudicación</w:t>
      </w:r>
      <w:r w:rsidRPr="002A3CFA">
        <w:rPr>
          <w:rFonts w:ascii="Tahoma" w:hAnsi="Tahoma" w:cs="Tahoma"/>
          <w:color w:val="000000" w:themeColor="text1"/>
        </w:rPr>
        <w:t xml:space="preserve"> por parte del MIEM. </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jc w:val="both"/>
        <w:rPr>
          <w:rFonts w:ascii="Tahoma" w:hAnsi="Tahoma" w:cs="Tahoma"/>
          <w:b/>
          <w:color w:val="000000" w:themeColor="text1"/>
        </w:rPr>
      </w:pPr>
      <w:r w:rsidRPr="002A3CFA">
        <w:rPr>
          <w:rFonts w:ascii="Tahoma" w:hAnsi="Tahoma" w:cs="Tahoma"/>
          <w:b/>
          <w:color w:val="000000" w:themeColor="text1"/>
        </w:rPr>
        <w:t>2. Condiciones generales del llamado</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ind w:firstLine="696"/>
        <w:jc w:val="both"/>
        <w:rPr>
          <w:rFonts w:ascii="Tahoma" w:hAnsi="Tahoma" w:cs="Tahoma"/>
          <w:color w:val="000000" w:themeColor="text1"/>
        </w:rPr>
      </w:pPr>
      <w:r w:rsidRPr="002A3CFA">
        <w:rPr>
          <w:rFonts w:ascii="Tahoma" w:hAnsi="Tahoma" w:cs="Tahoma"/>
          <w:color w:val="000000" w:themeColor="text1"/>
        </w:rPr>
        <w:t>2.1 Postulación</w:t>
      </w:r>
    </w:p>
    <w:p w:rsidR="002A3CFA" w:rsidRPr="002A3CFA" w:rsidRDefault="002A3CFA" w:rsidP="002A3CFA">
      <w:pPr>
        <w:pStyle w:val="Prrafodelista"/>
        <w:ind w:firstLine="696"/>
        <w:jc w:val="both"/>
        <w:rPr>
          <w:rFonts w:ascii="Tahoma" w:hAnsi="Tahoma" w:cs="Tahoma"/>
          <w:color w:val="000000" w:themeColor="text1"/>
        </w:rPr>
      </w:pPr>
      <w:r w:rsidRPr="002A3CFA">
        <w:rPr>
          <w:rFonts w:ascii="Tahoma" w:hAnsi="Tahoma" w:cs="Tahoma"/>
          <w:color w:val="000000" w:themeColor="text1"/>
        </w:rPr>
        <w:t>La postulación deberá incluir</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numPr>
          <w:ilvl w:val="0"/>
          <w:numId w:val="9"/>
        </w:numPr>
        <w:jc w:val="both"/>
        <w:rPr>
          <w:rFonts w:ascii="Tahoma" w:hAnsi="Tahoma" w:cs="Tahoma"/>
          <w:color w:val="000000" w:themeColor="text1"/>
        </w:rPr>
      </w:pPr>
      <w:r w:rsidRPr="002A3CFA">
        <w:rPr>
          <w:rFonts w:ascii="Tahoma" w:hAnsi="Tahoma" w:cs="Tahoma"/>
          <w:color w:val="000000" w:themeColor="text1"/>
        </w:rPr>
        <w:t>Formulario de identificación del oferente</w:t>
      </w:r>
    </w:p>
    <w:p w:rsidR="002A3CFA" w:rsidRPr="002A3CFA" w:rsidRDefault="002A3CFA" w:rsidP="002A3CFA">
      <w:pPr>
        <w:pStyle w:val="Prrafodelista"/>
        <w:numPr>
          <w:ilvl w:val="0"/>
          <w:numId w:val="9"/>
        </w:numPr>
        <w:jc w:val="both"/>
        <w:rPr>
          <w:rFonts w:ascii="Tahoma" w:hAnsi="Tahoma" w:cs="Tahoma"/>
          <w:color w:val="000000" w:themeColor="text1"/>
        </w:rPr>
      </w:pPr>
      <w:r w:rsidRPr="002A3CFA">
        <w:rPr>
          <w:rFonts w:ascii="Tahoma" w:hAnsi="Tahoma" w:cs="Tahoma"/>
          <w:color w:val="000000" w:themeColor="text1"/>
        </w:rPr>
        <w:t>Propuesta técnica que incluya: antecedentes de la empresa consultora, cv de las personas designadas para llevar adelante el trabajo (acreditando conocimientos especializados vinculados a las temática y experiencia en proyectos similares) y plan de trabajo</w:t>
      </w:r>
    </w:p>
    <w:p w:rsidR="002A3CFA" w:rsidRPr="002A3CFA" w:rsidRDefault="002A3CFA" w:rsidP="002A3CFA">
      <w:pPr>
        <w:pStyle w:val="Prrafodelista"/>
        <w:numPr>
          <w:ilvl w:val="0"/>
          <w:numId w:val="9"/>
        </w:numPr>
        <w:jc w:val="both"/>
        <w:rPr>
          <w:rFonts w:ascii="Tahoma" w:hAnsi="Tahoma" w:cs="Tahoma"/>
          <w:color w:val="000000" w:themeColor="text1"/>
        </w:rPr>
      </w:pPr>
      <w:r w:rsidRPr="002A3CFA">
        <w:rPr>
          <w:rFonts w:ascii="Tahoma" w:hAnsi="Tahoma" w:cs="Tahoma"/>
          <w:color w:val="000000" w:themeColor="text1"/>
        </w:rPr>
        <w:t>Oferta económica, que deberá incluir claramente los impuestos que correspondan. La cotización deberá ser en pesos uruguayos.  La no inclusión de los impuestos correspondientes, hará que el precio cotizado se considere impuestos incluidos</w:t>
      </w:r>
    </w:p>
    <w:p w:rsidR="002A3CFA" w:rsidRPr="002A3CFA" w:rsidRDefault="002A3CFA" w:rsidP="002A3CFA">
      <w:pPr>
        <w:pStyle w:val="Prrafodelista"/>
        <w:jc w:val="both"/>
        <w:rPr>
          <w:rFonts w:ascii="Tahoma" w:hAnsi="Tahoma" w:cs="Tahoma"/>
          <w:color w:val="000000" w:themeColor="text1"/>
        </w:rPr>
      </w:pPr>
    </w:p>
    <w:p w:rsidR="002A3CFA" w:rsidRPr="002A3CFA" w:rsidRDefault="002A3CFA" w:rsidP="002A3CFA">
      <w:pPr>
        <w:pStyle w:val="Prrafodelista"/>
        <w:jc w:val="both"/>
        <w:rPr>
          <w:rFonts w:ascii="Tahoma" w:hAnsi="Tahoma" w:cs="Tahoma"/>
          <w:color w:val="000000" w:themeColor="text1"/>
        </w:rPr>
      </w:pPr>
      <w:r w:rsidRPr="002A3CFA">
        <w:rPr>
          <w:rFonts w:ascii="Tahoma" w:hAnsi="Tahoma" w:cs="Tahoma"/>
          <w:color w:val="000000" w:themeColor="text1"/>
        </w:rPr>
        <w:t xml:space="preserve">La oferta podrá presentarse en línea o en formato papel y la fecha para recibir postulaciones será </w:t>
      </w:r>
      <w:r w:rsidR="00576A28">
        <w:rPr>
          <w:rFonts w:ascii="Tahoma" w:hAnsi="Tahoma" w:cs="Tahoma"/>
          <w:color w:val="000000" w:themeColor="text1"/>
        </w:rPr>
        <w:t>la publicada en la web comprasestatales.gub.uy</w:t>
      </w:r>
      <w:r w:rsidRPr="002A3CFA">
        <w:rPr>
          <w:rFonts w:ascii="Tahoma" w:hAnsi="Tahoma" w:cs="Tahoma"/>
          <w:color w:val="000000" w:themeColor="text1"/>
        </w:rPr>
        <w:t xml:space="preserve">. En caso de presentarse en papel,  la recepción se hará en el Departamento de Adquisiciones y Proveeduría, sito en Rincón 723 1er piso, Montevideo, de 10 a 16 </w:t>
      </w:r>
      <w:proofErr w:type="spellStart"/>
      <w:r w:rsidRPr="002A3CFA">
        <w:rPr>
          <w:rFonts w:ascii="Tahoma" w:hAnsi="Tahoma" w:cs="Tahoma"/>
          <w:color w:val="000000" w:themeColor="text1"/>
        </w:rPr>
        <w:t>hs</w:t>
      </w:r>
      <w:proofErr w:type="spellEnd"/>
      <w:r w:rsidRPr="002A3CFA">
        <w:rPr>
          <w:rFonts w:ascii="Tahoma" w:hAnsi="Tahoma" w:cs="Tahoma"/>
          <w:color w:val="000000" w:themeColor="text1"/>
        </w:rPr>
        <w:t>.</w:t>
      </w:r>
      <w:r w:rsidR="00576A28">
        <w:rPr>
          <w:rFonts w:ascii="Tahoma" w:hAnsi="Tahoma" w:cs="Tahoma"/>
          <w:color w:val="000000" w:themeColor="text1"/>
        </w:rPr>
        <w:t xml:space="preserve"> hasta el día establecido anteriormente.</w:t>
      </w:r>
      <w:r w:rsidRPr="002A3CFA">
        <w:rPr>
          <w:rFonts w:ascii="Tahoma" w:hAnsi="Tahoma" w:cs="Tahoma"/>
          <w:color w:val="000000" w:themeColor="text1"/>
        </w:rPr>
        <w:t xml:space="preserve">  </w:t>
      </w:r>
    </w:p>
    <w:p w:rsidR="002A3CFA" w:rsidRPr="002A3CFA" w:rsidRDefault="002A3CFA" w:rsidP="002A3CFA">
      <w:pPr>
        <w:pStyle w:val="Prrafodelista"/>
        <w:jc w:val="both"/>
        <w:rPr>
          <w:rFonts w:ascii="Tahoma" w:hAnsi="Tahoma" w:cs="Tahoma"/>
          <w:color w:val="000000" w:themeColor="text1"/>
        </w:rPr>
      </w:pPr>
    </w:p>
    <w:p w:rsidR="002A3CFA" w:rsidRDefault="002A3CFA" w:rsidP="009C3D13">
      <w:pPr>
        <w:pStyle w:val="Prrafodelista"/>
        <w:ind w:firstLine="696"/>
        <w:jc w:val="both"/>
        <w:rPr>
          <w:rFonts w:ascii="Tahoma" w:hAnsi="Tahoma" w:cs="Tahoma"/>
          <w:color w:val="000000" w:themeColor="text1"/>
        </w:rPr>
      </w:pPr>
      <w:r w:rsidRPr="002A3CFA">
        <w:rPr>
          <w:rFonts w:ascii="Tahoma" w:hAnsi="Tahoma" w:cs="Tahoma"/>
          <w:color w:val="000000" w:themeColor="text1"/>
        </w:rPr>
        <w:t>2.2 Forma de postulación</w:t>
      </w:r>
    </w:p>
    <w:p w:rsidR="002A3CFA" w:rsidRPr="00576A28" w:rsidRDefault="00576A28" w:rsidP="00576A28">
      <w:pPr>
        <w:jc w:val="both"/>
        <w:rPr>
          <w:rFonts w:ascii="Tahoma" w:hAnsi="Tahoma" w:cs="Tahoma"/>
          <w:color w:val="000000" w:themeColor="text1"/>
        </w:rPr>
      </w:pPr>
      <w:r>
        <w:rPr>
          <w:rFonts w:ascii="Tahoma" w:hAnsi="Tahoma" w:cs="Tahoma"/>
          <w:color w:val="000000" w:themeColor="text1"/>
        </w:rPr>
        <w:t xml:space="preserve">          En caso de presentación en formato papel:</w:t>
      </w:r>
    </w:p>
    <w:p w:rsidR="002A3CFA" w:rsidRPr="009C3D13" w:rsidRDefault="002A3CFA" w:rsidP="00576A28">
      <w:pPr>
        <w:pStyle w:val="Prrafodelista"/>
        <w:numPr>
          <w:ilvl w:val="0"/>
          <w:numId w:val="12"/>
        </w:numPr>
        <w:jc w:val="both"/>
        <w:rPr>
          <w:rFonts w:ascii="Tahoma" w:hAnsi="Tahoma" w:cs="Tahoma"/>
          <w:color w:val="000000" w:themeColor="text1"/>
        </w:rPr>
      </w:pPr>
      <w:r w:rsidRPr="009C3D13">
        <w:rPr>
          <w:rFonts w:ascii="Tahoma" w:hAnsi="Tahoma" w:cs="Tahoma"/>
          <w:color w:val="000000" w:themeColor="text1"/>
        </w:rPr>
        <w:t>Se presentará en sobre cerrado identificado en el exterior</w:t>
      </w:r>
      <w:r w:rsidR="009C3D13" w:rsidRPr="009C3D13">
        <w:rPr>
          <w:rFonts w:ascii="Tahoma" w:hAnsi="Tahoma" w:cs="Tahoma"/>
          <w:color w:val="000000" w:themeColor="text1"/>
        </w:rPr>
        <w:t>, con</w:t>
      </w:r>
      <w:r w:rsidRPr="009C3D13">
        <w:rPr>
          <w:rFonts w:ascii="Tahoma" w:hAnsi="Tahoma" w:cs="Tahoma"/>
          <w:color w:val="000000" w:themeColor="text1"/>
        </w:rPr>
        <w:t xml:space="preserve"> el nombre de la convocatoria y el nombre del oferente. </w:t>
      </w:r>
    </w:p>
    <w:p w:rsidR="002A3CFA" w:rsidRPr="009C3D13" w:rsidRDefault="002A3CFA" w:rsidP="002A3CFA">
      <w:pPr>
        <w:pStyle w:val="Prrafodelista"/>
        <w:jc w:val="both"/>
        <w:rPr>
          <w:rFonts w:ascii="Tahoma" w:hAnsi="Tahoma" w:cs="Tahoma"/>
          <w:color w:val="000000" w:themeColor="text1"/>
        </w:rPr>
      </w:pPr>
    </w:p>
    <w:p w:rsidR="002A3CFA" w:rsidRPr="009C3D13" w:rsidRDefault="002A3CFA" w:rsidP="002A3CFA">
      <w:pPr>
        <w:pStyle w:val="Prrafodelista"/>
        <w:jc w:val="both"/>
        <w:rPr>
          <w:rFonts w:ascii="Tahoma" w:hAnsi="Tahoma" w:cs="Tahoma"/>
          <w:color w:val="000000" w:themeColor="text1"/>
        </w:rPr>
      </w:pPr>
      <w:r w:rsidRPr="009C3D13">
        <w:rPr>
          <w:rFonts w:ascii="Tahoma" w:hAnsi="Tahoma" w:cs="Tahoma"/>
          <w:color w:val="000000" w:themeColor="text1"/>
        </w:rPr>
        <w:t xml:space="preserve">El sobre debe contener dos sobres cerrados: </w:t>
      </w:r>
    </w:p>
    <w:p w:rsidR="002A3CFA" w:rsidRPr="009C3D13" w:rsidRDefault="002A3CFA" w:rsidP="002A3CFA">
      <w:pPr>
        <w:pStyle w:val="Prrafodelista"/>
        <w:jc w:val="both"/>
        <w:rPr>
          <w:rFonts w:ascii="Tahoma" w:hAnsi="Tahoma" w:cs="Tahoma"/>
          <w:color w:val="000000" w:themeColor="text1"/>
        </w:rPr>
      </w:pPr>
    </w:p>
    <w:p w:rsidR="002A3CFA" w:rsidRPr="009C3D13" w:rsidRDefault="002A3CFA" w:rsidP="009C3D13">
      <w:pPr>
        <w:pStyle w:val="Prrafodelista"/>
        <w:numPr>
          <w:ilvl w:val="0"/>
          <w:numId w:val="10"/>
        </w:numPr>
        <w:jc w:val="both"/>
        <w:rPr>
          <w:rFonts w:ascii="Tahoma" w:hAnsi="Tahoma" w:cs="Tahoma"/>
          <w:color w:val="000000" w:themeColor="text1"/>
        </w:rPr>
      </w:pPr>
      <w:r w:rsidRPr="009C3D13">
        <w:rPr>
          <w:rFonts w:ascii="Tahoma" w:hAnsi="Tahoma" w:cs="Tahoma"/>
          <w:color w:val="000000" w:themeColor="text1"/>
        </w:rPr>
        <w:t>Un sobre con la docu</w:t>
      </w:r>
      <w:r w:rsidR="00576A28">
        <w:rPr>
          <w:rFonts w:ascii="Tahoma" w:hAnsi="Tahoma" w:cs="Tahoma"/>
          <w:color w:val="000000" w:themeColor="text1"/>
        </w:rPr>
        <w:t xml:space="preserve">mentación legal de la empresa; </w:t>
      </w:r>
      <w:proofErr w:type="gramStart"/>
      <w:r w:rsidRPr="009C3D13">
        <w:rPr>
          <w:rFonts w:ascii="Tahoma" w:hAnsi="Tahoma" w:cs="Tahoma"/>
          <w:color w:val="000000" w:themeColor="text1"/>
        </w:rPr>
        <w:t>la propuesta técnica</w:t>
      </w:r>
      <w:r w:rsidR="00494C1F">
        <w:rPr>
          <w:rFonts w:ascii="Tahoma" w:hAnsi="Tahoma" w:cs="Tahoma"/>
          <w:color w:val="000000" w:themeColor="text1"/>
        </w:rPr>
        <w:t xml:space="preserve">; </w:t>
      </w:r>
      <w:r w:rsidR="00576A28">
        <w:rPr>
          <w:rFonts w:ascii="Tahoma" w:hAnsi="Tahoma" w:cs="Tahoma"/>
          <w:color w:val="000000" w:themeColor="text1"/>
        </w:rPr>
        <w:t>antecedentes</w:t>
      </w:r>
      <w:proofErr w:type="gramEnd"/>
      <w:r w:rsidR="00576A28">
        <w:rPr>
          <w:rFonts w:ascii="Tahoma" w:hAnsi="Tahoma" w:cs="Tahoma"/>
          <w:color w:val="000000" w:themeColor="text1"/>
        </w:rPr>
        <w:t xml:space="preserve"> y conformación del equipo de trabajo.</w:t>
      </w:r>
    </w:p>
    <w:p w:rsidR="002A3CFA" w:rsidRPr="009C3D13" w:rsidRDefault="002A3CFA" w:rsidP="009C3D13">
      <w:pPr>
        <w:pStyle w:val="Prrafodelista"/>
        <w:numPr>
          <w:ilvl w:val="0"/>
          <w:numId w:val="10"/>
        </w:numPr>
        <w:jc w:val="both"/>
        <w:rPr>
          <w:rFonts w:ascii="Tahoma" w:hAnsi="Tahoma" w:cs="Tahoma"/>
          <w:color w:val="000000" w:themeColor="text1"/>
        </w:rPr>
      </w:pPr>
      <w:r w:rsidRPr="009C3D13">
        <w:rPr>
          <w:rFonts w:ascii="Tahoma" w:hAnsi="Tahoma" w:cs="Tahoma"/>
          <w:color w:val="000000" w:themeColor="text1"/>
        </w:rPr>
        <w:lastRenderedPageBreak/>
        <w:t>Un sobre con la propuesta económica.</w:t>
      </w:r>
    </w:p>
    <w:p w:rsidR="002A3CFA" w:rsidRPr="009C3D13" w:rsidRDefault="002A3CFA" w:rsidP="009C3D13">
      <w:pPr>
        <w:pStyle w:val="Prrafodelista"/>
        <w:jc w:val="both"/>
        <w:rPr>
          <w:rFonts w:ascii="Tahoma" w:hAnsi="Tahoma" w:cs="Tahoma"/>
          <w:color w:val="000000" w:themeColor="text1"/>
        </w:rPr>
      </w:pPr>
    </w:p>
    <w:p w:rsidR="002A3CFA" w:rsidRPr="002A3CFA" w:rsidRDefault="002A3CFA" w:rsidP="00494C1F">
      <w:pPr>
        <w:jc w:val="both"/>
        <w:rPr>
          <w:rFonts w:ascii="Tahoma" w:hAnsi="Tahoma" w:cs="Tahoma"/>
          <w:color w:val="000000" w:themeColor="text1"/>
        </w:rPr>
      </w:pPr>
      <w:r w:rsidRPr="002A3CFA">
        <w:rPr>
          <w:rFonts w:ascii="Tahoma" w:hAnsi="Tahoma" w:cs="Tahoma"/>
          <w:color w:val="000000" w:themeColor="text1"/>
        </w:rPr>
        <w:t xml:space="preserve"> Antecedentes y equipo de trabajo</w:t>
      </w:r>
    </w:p>
    <w:p w:rsidR="002A3CFA" w:rsidRP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La empresa consultora deberá acreditar por lo menos dos años de experiencia en consultorías similares. </w:t>
      </w:r>
    </w:p>
    <w:p w:rsidR="002A3CFA" w:rsidRP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Se deberá indicar el responsable general del proyecto, que deberá tener poder de decisión y representación de la consultora ante el MIEM. </w:t>
      </w:r>
    </w:p>
    <w:p w:rsid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Se deberá incluir los CV completos. </w:t>
      </w:r>
    </w:p>
    <w:p w:rsidR="00D71254" w:rsidRDefault="00D71254" w:rsidP="00D71254">
      <w:pPr>
        <w:jc w:val="both"/>
        <w:rPr>
          <w:rFonts w:ascii="Tahoma" w:hAnsi="Tahoma" w:cs="Tahoma"/>
          <w:color w:val="000000" w:themeColor="text1"/>
        </w:rPr>
      </w:pPr>
      <w:r>
        <w:rPr>
          <w:rFonts w:ascii="Tahoma" w:hAnsi="Tahoma" w:cs="Tahoma"/>
          <w:color w:val="000000" w:themeColor="text1"/>
        </w:rPr>
        <w:t xml:space="preserve">También podrá presentarse a través del sitio web </w:t>
      </w:r>
      <w:hyperlink r:id="rId6" w:history="1">
        <w:r w:rsidRPr="00CF1055">
          <w:rPr>
            <w:rStyle w:val="Hipervnculo"/>
            <w:rFonts w:ascii="Tahoma" w:hAnsi="Tahoma" w:cs="Tahoma"/>
          </w:rPr>
          <w:t>www.comprasestatales.gub.uy</w:t>
        </w:r>
      </w:hyperlink>
      <w:r>
        <w:rPr>
          <w:rFonts w:ascii="Tahoma" w:hAnsi="Tahoma" w:cs="Tahoma"/>
          <w:color w:val="000000" w:themeColor="text1"/>
        </w:rPr>
        <w:t xml:space="preserve"> eximiéndose en este caso de la presentación de la oferta en papel, siempre que se haya adjuntado a la oferta en línea la totalidad de la documentación solicitada (anexos, </w:t>
      </w:r>
      <w:proofErr w:type="spellStart"/>
      <w:r>
        <w:rPr>
          <w:rFonts w:ascii="Tahoma" w:hAnsi="Tahoma" w:cs="Tahoma"/>
          <w:color w:val="000000" w:themeColor="text1"/>
        </w:rPr>
        <w:t>etc</w:t>
      </w:r>
      <w:proofErr w:type="spellEnd"/>
      <w:r>
        <w:rPr>
          <w:rFonts w:ascii="Tahoma" w:hAnsi="Tahoma" w:cs="Tahoma"/>
          <w:color w:val="000000" w:themeColor="text1"/>
        </w:rPr>
        <w:t>), requerida por el presente pliego.</w:t>
      </w:r>
    </w:p>
    <w:p w:rsidR="00D71254" w:rsidRDefault="00D71254" w:rsidP="002A3CFA">
      <w:pPr>
        <w:ind w:left="708"/>
        <w:jc w:val="both"/>
        <w:rPr>
          <w:rFonts w:ascii="Tahoma" w:hAnsi="Tahoma" w:cs="Tahoma"/>
          <w:b/>
          <w:color w:val="000000" w:themeColor="text1"/>
        </w:rPr>
      </w:pPr>
    </w:p>
    <w:p w:rsidR="002A3CFA" w:rsidRPr="009C3D13" w:rsidRDefault="002A3CFA" w:rsidP="002A3CFA">
      <w:pPr>
        <w:ind w:left="708"/>
        <w:jc w:val="both"/>
        <w:rPr>
          <w:rFonts w:ascii="Tahoma" w:hAnsi="Tahoma" w:cs="Tahoma"/>
          <w:b/>
          <w:color w:val="000000" w:themeColor="text1"/>
        </w:rPr>
      </w:pPr>
      <w:r w:rsidRPr="009C3D13">
        <w:rPr>
          <w:rFonts w:ascii="Tahoma" w:hAnsi="Tahoma" w:cs="Tahoma"/>
          <w:b/>
          <w:color w:val="000000" w:themeColor="text1"/>
        </w:rPr>
        <w:t>3. Proceso de selección y criterios de evaluación</w:t>
      </w:r>
    </w:p>
    <w:p w:rsidR="00473072" w:rsidRDefault="00473072" w:rsidP="00473072">
      <w:pPr>
        <w:ind w:left="708" w:firstLine="708"/>
        <w:jc w:val="both"/>
        <w:rPr>
          <w:rFonts w:ascii="Tahoma" w:hAnsi="Tahoma" w:cs="Tahoma"/>
          <w:color w:val="000000" w:themeColor="text1"/>
        </w:rPr>
      </w:pPr>
      <w:r>
        <w:rPr>
          <w:rFonts w:ascii="Tahoma" w:hAnsi="Tahoma" w:cs="Tahoma"/>
          <w:color w:val="000000" w:themeColor="text1"/>
        </w:rPr>
        <w:t>3.1 Evaluación.</w:t>
      </w:r>
    </w:p>
    <w:p w:rsidR="002A3CFA" w:rsidRP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Únicamente aquellas ofertas que cumplan con los </w:t>
      </w:r>
      <w:r w:rsidR="00576A28">
        <w:rPr>
          <w:rFonts w:ascii="Tahoma" w:hAnsi="Tahoma" w:cs="Tahoma"/>
          <w:color w:val="000000" w:themeColor="text1"/>
        </w:rPr>
        <w:t>requisitos exigidos</w:t>
      </w:r>
      <w:r w:rsidRPr="002A3CFA">
        <w:rPr>
          <w:rFonts w:ascii="Tahoma" w:hAnsi="Tahoma" w:cs="Tahoma"/>
          <w:color w:val="000000" w:themeColor="text1"/>
        </w:rPr>
        <w:t xml:space="preserve"> en las bases serán consideradas para la evaluación. </w:t>
      </w:r>
    </w:p>
    <w:p w:rsidR="002A3CFA" w:rsidRP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La evaluación consta de dos etapas: </w:t>
      </w:r>
    </w:p>
    <w:p w:rsidR="002A3CFA" w:rsidRDefault="002A3CFA" w:rsidP="009C3D13">
      <w:pPr>
        <w:pStyle w:val="Prrafodelista"/>
        <w:numPr>
          <w:ilvl w:val="0"/>
          <w:numId w:val="11"/>
        </w:numPr>
        <w:jc w:val="both"/>
        <w:rPr>
          <w:rFonts w:ascii="Tahoma" w:hAnsi="Tahoma" w:cs="Tahoma"/>
          <w:color w:val="000000" w:themeColor="text1"/>
        </w:rPr>
      </w:pPr>
      <w:r w:rsidRPr="009C3D13">
        <w:rPr>
          <w:rFonts w:ascii="Tahoma" w:hAnsi="Tahoma" w:cs="Tahoma"/>
          <w:color w:val="000000" w:themeColor="text1"/>
        </w:rPr>
        <w:t xml:space="preserve">Evaluación de la propuesta técnica </w:t>
      </w:r>
      <w:r w:rsidR="009C3D13">
        <w:rPr>
          <w:rFonts w:ascii="Tahoma" w:hAnsi="Tahoma" w:cs="Tahoma"/>
          <w:color w:val="000000" w:themeColor="text1"/>
        </w:rPr>
        <w:t>(hasta 70 puntos en 100).</w:t>
      </w:r>
    </w:p>
    <w:p w:rsidR="009C3D13" w:rsidRDefault="009C3D13" w:rsidP="009C3D13">
      <w:pPr>
        <w:pStyle w:val="Prrafodelista"/>
        <w:numPr>
          <w:ilvl w:val="1"/>
          <w:numId w:val="11"/>
        </w:numPr>
        <w:jc w:val="both"/>
        <w:rPr>
          <w:rFonts w:ascii="Tahoma" w:hAnsi="Tahoma" w:cs="Tahoma"/>
          <w:color w:val="000000" w:themeColor="text1"/>
        </w:rPr>
      </w:pPr>
      <w:r>
        <w:rPr>
          <w:rFonts w:ascii="Tahoma" w:hAnsi="Tahoma" w:cs="Tahoma"/>
          <w:color w:val="000000" w:themeColor="text1"/>
        </w:rPr>
        <w:t>Alcance de la propuesta: extensión de talleres e informes, grado de personalización de los productos (hasta 25 puntos en 70)</w:t>
      </w:r>
    </w:p>
    <w:p w:rsidR="009C3D13" w:rsidRDefault="009C3D13" w:rsidP="009C3D13">
      <w:pPr>
        <w:pStyle w:val="Prrafodelista"/>
        <w:numPr>
          <w:ilvl w:val="1"/>
          <w:numId w:val="11"/>
        </w:numPr>
        <w:jc w:val="both"/>
        <w:rPr>
          <w:rFonts w:ascii="Tahoma" w:hAnsi="Tahoma" w:cs="Tahoma"/>
          <w:color w:val="000000" w:themeColor="text1"/>
        </w:rPr>
      </w:pPr>
      <w:proofErr w:type="spellStart"/>
      <w:r>
        <w:rPr>
          <w:rFonts w:ascii="Tahoma" w:hAnsi="Tahoma" w:cs="Tahoma"/>
          <w:color w:val="000000" w:themeColor="text1"/>
        </w:rPr>
        <w:t>Expertise</w:t>
      </w:r>
      <w:proofErr w:type="spellEnd"/>
      <w:r>
        <w:rPr>
          <w:rFonts w:ascii="Tahoma" w:hAnsi="Tahoma" w:cs="Tahoma"/>
          <w:color w:val="000000" w:themeColor="text1"/>
        </w:rPr>
        <w:t xml:space="preserve"> de la empresa: cualificación del personal y experiencia en el mercado (hasta 45 puntos en 70).</w:t>
      </w:r>
    </w:p>
    <w:p w:rsidR="009C3D13" w:rsidRPr="009C3D13" w:rsidRDefault="009C3D13" w:rsidP="009C3D13">
      <w:pPr>
        <w:pStyle w:val="Prrafodelista"/>
        <w:ind w:left="1440"/>
        <w:jc w:val="both"/>
        <w:rPr>
          <w:rFonts w:ascii="Tahoma" w:hAnsi="Tahoma" w:cs="Tahoma"/>
          <w:color w:val="000000" w:themeColor="text1"/>
        </w:rPr>
      </w:pPr>
      <w:r>
        <w:rPr>
          <w:rFonts w:ascii="Tahoma" w:hAnsi="Tahoma" w:cs="Tahoma"/>
          <w:color w:val="000000" w:themeColor="text1"/>
        </w:rPr>
        <w:t xml:space="preserve">De manera de asegurar un mínimo de calidad en las ofertas a considerar, la propuesta técnica debe alcanzar un mínimo de </w:t>
      </w:r>
      <w:r w:rsidR="00473072">
        <w:rPr>
          <w:rFonts w:ascii="Tahoma" w:hAnsi="Tahoma" w:cs="Tahoma"/>
          <w:color w:val="000000" w:themeColor="text1"/>
        </w:rPr>
        <w:t>30 puntos en 70.</w:t>
      </w:r>
    </w:p>
    <w:p w:rsidR="00473072" w:rsidRDefault="002A3CFA" w:rsidP="00473072">
      <w:pPr>
        <w:pStyle w:val="Prrafodelista"/>
        <w:numPr>
          <w:ilvl w:val="0"/>
          <w:numId w:val="11"/>
        </w:numPr>
        <w:jc w:val="both"/>
        <w:rPr>
          <w:rFonts w:ascii="Tahoma" w:hAnsi="Tahoma" w:cs="Tahoma"/>
          <w:color w:val="000000" w:themeColor="text1"/>
        </w:rPr>
      </w:pPr>
      <w:r w:rsidRPr="009C3D13">
        <w:rPr>
          <w:rFonts w:ascii="Tahoma" w:hAnsi="Tahoma" w:cs="Tahoma"/>
          <w:color w:val="000000" w:themeColor="text1"/>
        </w:rPr>
        <w:t>Evaluación de la propuesta económica</w:t>
      </w:r>
      <w:r w:rsidR="009C3D13">
        <w:rPr>
          <w:rFonts w:ascii="Tahoma" w:hAnsi="Tahoma" w:cs="Tahoma"/>
          <w:color w:val="000000" w:themeColor="text1"/>
        </w:rPr>
        <w:t xml:space="preserve"> (hasta 30 puntos</w:t>
      </w:r>
      <w:r w:rsidR="00482C59">
        <w:rPr>
          <w:rFonts w:ascii="Tahoma" w:hAnsi="Tahoma" w:cs="Tahoma"/>
          <w:color w:val="000000" w:themeColor="text1"/>
        </w:rPr>
        <w:t xml:space="preserve"> en 100</w:t>
      </w:r>
      <w:r w:rsidR="009C3D13">
        <w:rPr>
          <w:rFonts w:ascii="Tahoma" w:hAnsi="Tahoma" w:cs="Tahoma"/>
          <w:color w:val="000000" w:themeColor="text1"/>
        </w:rPr>
        <w:t>).</w:t>
      </w:r>
      <w:r w:rsidR="00473072">
        <w:rPr>
          <w:rFonts w:ascii="Tahoma" w:hAnsi="Tahoma" w:cs="Tahoma"/>
          <w:color w:val="000000" w:themeColor="text1"/>
        </w:rPr>
        <w:t xml:space="preserve"> </w:t>
      </w:r>
    </w:p>
    <w:p w:rsidR="002A3CFA" w:rsidRPr="00473072" w:rsidRDefault="002A3CFA" w:rsidP="00473072">
      <w:pPr>
        <w:pStyle w:val="Prrafodelista"/>
        <w:numPr>
          <w:ilvl w:val="1"/>
          <w:numId w:val="11"/>
        </w:numPr>
        <w:jc w:val="both"/>
        <w:rPr>
          <w:rFonts w:ascii="Tahoma" w:hAnsi="Tahoma" w:cs="Tahoma"/>
          <w:color w:val="000000" w:themeColor="text1"/>
        </w:rPr>
      </w:pPr>
      <w:r w:rsidRPr="00473072">
        <w:rPr>
          <w:rFonts w:ascii="Tahoma" w:hAnsi="Tahoma" w:cs="Tahoma"/>
          <w:color w:val="000000" w:themeColor="text1"/>
        </w:rPr>
        <w:t xml:space="preserve">Puntaje por propuesta económica = (Precio mínimo de las propuestas </w:t>
      </w:r>
      <w:r w:rsidR="00494C1F">
        <w:rPr>
          <w:rFonts w:ascii="Tahoma" w:hAnsi="Tahoma" w:cs="Tahoma"/>
          <w:color w:val="000000" w:themeColor="text1"/>
        </w:rPr>
        <w:t>admisibles</w:t>
      </w:r>
      <w:r w:rsidRPr="00473072">
        <w:rPr>
          <w:rFonts w:ascii="Tahoma" w:hAnsi="Tahoma" w:cs="Tahoma"/>
          <w:color w:val="000000" w:themeColor="text1"/>
        </w:rPr>
        <w:t xml:space="preserve"> / Precio de la propuesta analizada) * 30.</w:t>
      </w:r>
    </w:p>
    <w:p w:rsidR="002A3CFA" w:rsidRPr="002A3CFA" w:rsidRDefault="00473072" w:rsidP="002A3CFA">
      <w:pPr>
        <w:shd w:val="clear" w:color="auto" w:fill="FFFFFF"/>
        <w:spacing w:before="100" w:beforeAutospacing="1" w:after="100" w:afterAutospacing="1" w:line="240" w:lineRule="auto"/>
        <w:jc w:val="both"/>
        <w:rPr>
          <w:rFonts w:ascii="Tahoma" w:hAnsi="Tahoma" w:cs="Tahoma"/>
          <w:color w:val="000000" w:themeColor="text1"/>
        </w:rPr>
      </w:pPr>
      <w:r>
        <w:rPr>
          <w:rFonts w:ascii="Tahoma" w:hAnsi="Tahoma" w:cs="Tahoma"/>
          <w:color w:val="000000" w:themeColor="text1"/>
        </w:rPr>
        <w:t xml:space="preserve">En función de los puntajes obtenidos se elaborará una lista de la prelación en orden descendente. </w:t>
      </w:r>
    </w:p>
    <w:p w:rsidR="002A3CFA" w:rsidRPr="002A3CFA" w:rsidRDefault="002A3CFA" w:rsidP="002A3CFA">
      <w:pPr>
        <w:jc w:val="both"/>
        <w:rPr>
          <w:rFonts w:ascii="Tahoma" w:hAnsi="Tahoma" w:cs="Tahoma"/>
          <w:color w:val="000000" w:themeColor="text1"/>
        </w:rPr>
      </w:pPr>
      <w:r w:rsidRPr="002A3CFA">
        <w:rPr>
          <w:rFonts w:ascii="Tahoma" w:hAnsi="Tahoma" w:cs="Tahoma"/>
          <w:color w:val="000000" w:themeColor="text1"/>
        </w:rPr>
        <w:tab/>
      </w:r>
      <w:r w:rsidR="00FF4A27">
        <w:rPr>
          <w:rFonts w:ascii="Tahoma" w:hAnsi="Tahoma" w:cs="Tahoma"/>
          <w:color w:val="000000" w:themeColor="text1"/>
        </w:rPr>
        <w:tab/>
      </w:r>
      <w:r w:rsidRPr="002A3CFA">
        <w:rPr>
          <w:rFonts w:ascii="Tahoma" w:hAnsi="Tahoma" w:cs="Tahoma"/>
          <w:color w:val="000000" w:themeColor="text1"/>
        </w:rPr>
        <w:t>3.2 Adjudicación</w:t>
      </w:r>
    </w:p>
    <w:p w:rsidR="002A3CFA" w:rsidRP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El MIEM se reserva el derecho de determinar a su exclusivo juico y en forma definitiva si el oferente posee las capacidades para cumplir con el objeto del contrato. </w:t>
      </w:r>
    </w:p>
    <w:p w:rsidR="002A3CFA" w:rsidRPr="002A3CFA" w:rsidRDefault="002A3CFA" w:rsidP="002A3CFA">
      <w:pPr>
        <w:ind w:left="708"/>
        <w:jc w:val="both"/>
        <w:rPr>
          <w:rFonts w:ascii="Tahoma" w:hAnsi="Tahoma" w:cs="Tahoma"/>
          <w:color w:val="000000" w:themeColor="text1"/>
        </w:rPr>
      </w:pPr>
      <w:r w:rsidRPr="002A3CFA">
        <w:rPr>
          <w:rFonts w:ascii="Tahoma" w:hAnsi="Tahoma" w:cs="Tahoma"/>
          <w:color w:val="000000" w:themeColor="text1"/>
        </w:rPr>
        <w:t xml:space="preserve">El MIEM podrá disponer la adjudicación de la contratación, el rechazo de la totalidad de las ofertas presentadas o declara desierto este procedimiento de compra, sin que por ello incurra en responsabilidad alguna respecto del oferente u oferentes afectados por esta decisión, sin tener la obligación de comunicar los motivos de ella. </w:t>
      </w:r>
    </w:p>
    <w:p w:rsidR="002A3CFA" w:rsidRPr="002A3CFA" w:rsidRDefault="002A3CFA" w:rsidP="002A3CFA">
      <w:pPr>
        <w:ind w:left="708"/>
        <w:jc w:val="both"/>
        <w:rPr>
          <w:rFonts w:ascii="Tahoma" w:hAnsi="Tahoma" w:cs="Tahoma"/>
          <w:color w:val="000000" w:themeColor="text1"/>
        </w:rPr>
      </w:pPr>
    </w:p>
    <w:p w:rsidR="002A3CFA" w:rsidRPr="002A3CFA" w:rsidRDefault="002A3CFA" w:rsidP="00FF4A27">
      <w:pPr>
        <w:ind w:left="708" w:firstLine="708"/>
        <w:jc w:val="both"/>
        <w:rPr>
          <w:rFonts w:ascii="Tahoma" w:hAnsi="Tahoma" w:cs="Tahoma"/>
          <w:color w:val="000000" w:themeColor="text1"/>
        </w:rPr>
      </w:pPr>
      <w:r w:rsidRPr="002A3CFA">
        <w:rPr>
          <w:rFonts w:ascii="Tahoma" w:hAnsi="Tahoma" w:cs="Tahoma"/>
          <w:color w:val="000000" w:themeColor="text1"/>
        </w:rPr>
        <w:t>3.3 Notificación</w:t>
      </w:r>
    </w:p>
    <w:p w:rsidR="002A3CFA" w:rsidRPr="002A3CFA" w:rsidRDefault="00494C1F" w:rsidP="002A3CFA">
      <w:pPr>
        <w:ind w:left="708"/>
        <w:jc w:val="both"/>
        <w:rPr>
          <w:rFonts w:ascii="Tahoma" w:hAnsi="Tahoma" w:cs="Tahoma"/>
          <w:color w:val="000000" w:themeColor="text1"/>
        </w:rPr>
      </w:pPr>
      <w:r>
        <w:rPr>
          <w:rFonts w:ascii="Tahoma" w:hAnsi="Tahoma" w:cs="Tahoma"/>
          <w:color w:val="000000" w:themeColor="text1"/>
        </w:rPr>
        <w:t xml:space="preserve">Resuelta la adjudicación </w:t>
      </w:r>
      <w:r w:rsidR="002A3CFA" w:rsidRPr="002A3CFA">
        <w:rPr>
          <w:rFonts w:ascii="Tahoma" w:hAnsi="Tahoma" w:cs="Tahoma"/>
          <w:color w:val="000000" w:themeColor="text1"/>
        </w:rPr>
        <w:t>por parte del MIEM</w:t>
      </w:r>
      <w:r>
        <w:rPr>
          <w:rFonts w:ascii="Tahoma" w:hAnsi="Tahoma" w:cs="Tahoma"/>
          <w:color w:val="000000" w:themeColor="text1"/>
        </w:rPr>
        <w:t>,</w:t>
      </w:r>
      <w:r w:rsidR="002A3CFA" w:rsidRPr="002A3CFA">
        <w:rPr>
          <w:rFonts w:ascii="Tahoma" w:hAnsi="Tahoma" w:cs="Tahoma"/>
          <w:color w:val="000000" w:themeColor="text1"/>
        </w:rPr>
        <w:t xml:space="preserve"> será comunicada a todos los oferentes en el sitio web Compras E</w:t>
      </w:r>
      <w:r>
        <w:rPr>
          <w:rFonts w:ascii="Tahoma" w:hAnsi="Tahoma" w:cs="Tahoma"/>
          <w:color w:val="000000" w:themeColor="text1"/>
        </w:rPr>
        <w:t>statales y vía mail.</w:t>
      </w:r>
    </w:p>
    <w:p w:rsidR="002A3CFA" w:rsidRPr="002A3CFA" w:rsidRDefault="002A3CFA" w:rsidP="002A3CFA">
      <w:pPr>
        <w:ind w:left="708"/>
        <w:jc w:val="both"/>
        <w:rPr>
          <w:rFonts w:ascii="Tahoma" w:hAnsi="Tahoma" w:cs="Tahoma"/>
          <w:color w:val="000000" w:themeColor="text1"/>
        </w:rPr>
      </w:pPr>
    </w:p>
    <w:p w:rsidR="002A3CFA" w:rsidRPr="00FF4A27" w:rsidRDefault="002A3CFA" w:rsidP="002A3CFA">
      <w:pPr>
        <w:ind w:left="708"/>
        <w:jc w:val="both"/>
        <w:rPr>
          <w:rFonts w:ascii="Tahoma" w:hAnsi="Tahoma" w:cs="Tahoma"/>
          <w:b/>
          <w:color w:val="000000" w:themeColor="text1"/>
        </w:rPr>
      </w:pPr>
      <w:r w:rsidRPr="00FF4A27">
        <w:rPr>
          <w:rFonts w:ascii="Tahoma" w:hAnsi="Tahoma" w:cs="Tahoma"/>
          <w:b/>
          <w:color w:val="000000" w:themeColor="text1"/>
        </w:rPr>
        <w:t>4. Forma de pago</w:t>
      </w:r>
    </w:p>
    <w:p w:rsidR="002A3CFA" w:rsidRDefault="00C81413" w:rsidP="002A3CFA">
      <w:pPr>
        <w:jc w:val="both"/>
        <w:rPr>
          <w:rFonts w:ascii="Tahoma" w:hAnsi="Tahoma" w:cs="Tahoma"/>
          <w:color w:val="000000" w:themeColor="text1"/>
        </w:rPr>
      </w:pPr>
      <w:r>
        <w:rPr>
          <w:rFonts w:ascii="Tahoma" w:hAnsi="Tahoma" w:cs="Tahoma"/>
          <w:color w:val="000000" w:themeColor="text1"/>
        </w:rPr>
        <w:tab/>
        <w:t>-</w:t>
      </w:r>
      <w:r w:rsidR="002A3CFA" w:rsidRPr="002A3CFA">
        <w:rPr>
          <w:rFonts w:ascii="Tahoma" w:hAnsi="Tahoma" w:cs="Tahoma"/>
          <w:color w:val="000000" w:themeColor="text1"/>
        </w:rPr>
        <w:t xml:space="preserve"> </w:t>
      </w:r>
      <w:r>
        <w:rPr>
          <w:rFonts w:ascii="Tahoma" w:hAnsi="Tahoma" w:cs="Tahoma"/>
          <w:color w:val="000000" w:themeColor="text1"/>
        </w:rPr>
        <w:t>3</w:t>
      </w:r>
      <w:r w:rsidR="00D266DA">
        <w:rPr>
          <w:rFonts w:ascii="Tahoma" w:hAnsi="Tahoma" w:cs="Tahoma"/>
          <w:color w:val="000000" w:themeColor="text1"/>
        </w:rPr>
        <w:t xml:space="preserve">0% culminado </w:t>
      </w:r>
      <w:r>
        <w:rPr>
          <w:rFonts w:ascii="Tahoma" w:hAnsi="Tahoma" w:cs="Tahoma"/>
          <w:color w:val="000000" w:themeColor="text1"/>
        </w:rPr>
        <w:t>el Plan Estratégico de Comunicación.</w:t>
      </w:r>
    </w:p>
    <w:p w:rsidR="00C81413" w:rsidRPr="002A3CFA" w:rsidRDefault="00C81413" w:rsidP="002A3CFA">
      <w:pPr>
        <w:jc w:val="both"/>
        <w:rPr>
          <w:rFonts w:ascii="Tahoma" w:hAnsi="Tahoma" w:cs="Tahoma"/>
          <w:color w:val="000000" w:themeColor="text1"/>
        </w:rPr>
      </w:pPr>
      <w:r>
        <w:rPr>
          <w:rFonts w:ascii="Tahoma" w:hAnsi="Tahoma" w:cs="Tahoma"/>
          <w:color w:val="000000" w:themeColor="text1"/>
        </w:rPr>
        <w:tab/>
        <w:t>- 70% culminados los Talleres de Vocería</w:t>
      </w:r>
    </w:p>
    <w:p w:rsidR="002A3CFA" w:rsidRPr="002A3CFA" w:rsidRDefault="002A3CFA" w:rsidP="002A3CFA">
      <w:pPr>
        <w:jc w:val="both"/>
        <w:rPr>
          <w:rFonts w:ascii="Tahoma" w:hAnsi="Tahoma" w:cs="Tahoma"/>
          <w:color w:val="000000" w:themeColor="text1"/>
        </w:rPr>
      </w:pPr>
      <w:r w:rsidRPr="002A3CFA">
        <w:rPr>
          <w:rFonts w:ascii="Tahoma" w:hAnsi="Tahoma" w:cs="Tahoma"/>
          <w:color w:val="000000" w:themeColor="text1"/>
        </w:rPr>
        <w:t>Pago a través de SIIF, crédito 45 días</w:t>
      </w:r>
    </w:p>
    <w:p w:rsidR="002A3CFA" w:rsidRPr="002A3CFA" w:rsidRDefault="002A3CFA" w:rsidP="002A3CFA">
      <w:pPr>
        <w:jc w:val="both"/>
        <w:rPr>
          <w:rFonts w:ascii="Tahoma" w:hAnsi="Tahoma" w:cs="Tahoma"/>
          <w:color w:val="000000" w:themeColor="text1"/>
        </w:rPr>
      </w:pPr>
      <w:r w:rsidRPr="002A3CFA">
        <w:rPr>
          <w:rFonts w:ascii="Tahoma" w:hAnsi="Tahoma" w:cs="Tahoma"/>
          <w:color w:val="000000" w:themeColor="text1"/>
        </w:rPr>
        <w:t>La empresa deberá estar inscripta en RUPE.</w:t>
      </w:r>
      <w:bookmarkStart w:id="0" w:name="_GoBack"/>
      <w:bookmarkEnd w:id="0"/>
    </w:p>
    <w:p w:rsidR="002A3CFA" w:rsidRPr="002A3CFA" w:rsidRDefault="002A3CFA" w:rsidP="002A3CFA">
      <w:pPr>
        <w:jc w:val="both"/>
        <w:rPr>
          <w:rFonts w:ascii="Tahoma" w:hAnsi="Tahoma" w:cs="Tahoma"/>
          <w:color w:val="000000" w:themeColor="text1"/>
        </w:rPr>
      </w:pPr>
    </w:p>
    <w:p w:rsidR="002A3CFA" w:rsidRPr="00FF4A27" w:rsidRDefault="00FF4A27" w:rsidP="002A3CFA">
      <w:pPr>
        <w:ind w:left="708"/>
        <w:jc w:val="both"/>
        <w:rPr>
          <w:rFonts w:ascii="Tahoma" w:hAnsi="Tahoma" w:cs="Tahoma"/>
          <w:b/>
          <w:color w:val="000000" w:themeColor="text1"/>
        </w:rPr>
      </w:pPr>
      <w:r w:rsidRPr="00FF4A27">
        <w:rPr>
          <w:rFonts w:ascii="Tahoma" w:hAnsi="Tahoma" w:cs="Tahoma"/>
          <w:b/>
          <w:color w:val="000000" w:themeColor="text1"/>
        </w:rPr>
        <w:t>5. Consultas</w:t>
      </w:r>
    </w:p>
    <w:p w:rsidR="00FF4A27" w:rsidRPr="0091295A" w:rsidRDefault="0091295A" w:rsidP="00FF4A27">
      <w:pPr>
        <w:jc w:val="both"/>
        <w:rPr>
          <w:rStyle w:val="Hipervnculo"/>
          <w:rFonts w:ascii="Tahoma" w:hAnsi="Tahoma" w:cs="Tahoma"/>
          <w:color w:val="auto"/>
          <w:u w:val="none"/>
        </w:rPr>
      </w:pPr>
      <w:r>
        <w:rPr>
          <w:rFonts w:ascii="Tahoma" w:hAnsi="Tahoma" w:cs="Tahoma"/>
          <w:color w:val="000000" w:themeColor="text1"/>
        </w:rPr>
        <w:tab/>
        <w:t>Las consultas podrán realizarse</w:t>
      </w:r>
      <w:r w:rsidR="00FF4A27">
        <w:rPr>
          <w:rFonts w:ascii="Tahoma" w:hAnsi="Tahoma" w:cs="Tahoma"/>
          <w:color w:val="000000" w:themeColor="text1"/>
        </w:rPr>
        <w:t xml:space="preserve"> al correo </w:t>
      </w:r>
      <w:hyperlink r:id="rId7" w:history="1">
        <w:r w:rsidR="00FF4A27" w:rsidRPr="00D7773C">
          <w:rPr>
            <w:rStyle w:val="Hipervnculo"/>
            <w:rFonts w:ascii="Tahoma" w:hAnsi="Tahoma" w:cs="Tahoma"/>
          </w:rPr>
          <w:t>proveeduría@miem.gub.uy</w:t>
        </w:r>
      </w:hyperlink>
      <w:r>
        <w:rPr>
          <w:rStyle w:val="Hipervnculo"/>
          <w:rFonts w:ascii="Tahoma" w:hAnsi="Tahoma" w:cs="Tahoma"/>
          <w:color w:val="auto"/>
          <w:u w:val="none"/>
        </w:rPr>
        <w:t xml:space="preserve">y serán evacuadas a través de la página </w:t>
      </w:r>
      <w:hyperlink r:id="rId8" w:history="1">
        <w:r w:rsidRPr="00CF1055">
          <w:rPr>
            <w:rStyle w:val="Hipervnculo"/>
            <w:rFonts w:ascii="Tahoma" w:hAnsi="Tahoma" w:cs="Tahoma"/>
          </w:rPr>
          <w:t>www.comprasestatales.gub.uy</w:t>
        </w:r>
      </w:hyperlink>
      <w:r>
        <w:rPr>
          <w:rStyle w:val="Hipervnculo"/>
          <w:rFonts w:ascii="Tahoma" w:hAnsi="Tahoma" w:cs="Tahoma"/>
          <w:color w:val="auto"/>
          <w:u w:val="none"/>
        </w:rPr>
        <w:t xml:space="preserve"> </w:t>
      </w:r>
    </w:p>
    <w:p w:rsidR="0091295A" w:rsidRPr="0091295A" w:rsidRDefault="0091295A" w:rsidP="00FF4A27">
      <w:pPr>
        <w:jc w:val="both"/>
        <w:rPr>
          <w:rFonts w:ascii="Tahoma" w:hAnsi="Tahoma" w:cs="Tahoma"/>
        </w:rPr>
      </w:pPr>
    </w:p>
    <w:p w:rsidR="00FF4A27" w:rsidRPr="002A3CFA" w:rsidRDefault="00FF4A27" w:rsidP="00FF4A27">
      <w:pPr>
        <w:jc w:val="both"/>
        <w:rPr>
          <w:rFonts w:ascii="Tahoma" w:hAnsi="Tahoma" w:cs="Tahoma"/>
          <w:color w:val="000000" w:themeColor="text1"/>
        </w:rPr>
      </w:pPr>
    </w:p>
    <w:p w:rsidR="003E385D" w:rsidRPr="002A3CFA" w:rsidRDefault="003E385D" w:rsidP="002A3CFA">
      <w:pPr>
        <w:jc w:val="both"/>
        <w:rPr>
          <w:rFonts w:ascii="Tahoma" w:hAnsi="Tahoma" w:cs="Tahoma"/>
          <w:color w:val="000000" w:themeColor="text1"/>
        </w:rPr>
      </w:pPr>
    </w:p>
    <w:sectPr w:rsidR="003E385D" w:rsidRPr="002A3C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F81"/>
    <w:multiLevelType w:val="hybridMultilevel"/>
    <w:tmpl w:val="B49E831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9C756E2"/>
    <w:multiLevelType w:val="hybridMultilevel"/>
    <w:tmpl w:val="AA1A1B7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196600EA"/>
    <w:multiLevelType w:val="hybridMultilevel"/>
    <w:tmpl w:val="6AC0ADEE"/>
    <w:lvl w:ilvl="0" w:tplc="500E985C">
      <w:numFmt w:val="bullet"/>
      <w:lvlText w:val="-"/>
      <w:lvlJc w:val="left"/>
      <w:pPr>
        <w:ind w:left="1245" w:hanging="885"/>
      </w:pPr>
      <w:rPr>
        <w:rFonts w:ascii="Tahoma" w:eastAsiaTheme="minorHAnsi"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D394A92"/>
    <w:multiLevelType w:val="hybridMultilevel"/>
    <w:tmpl w:val="24CE6620"/>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15:restartNumberingAfterBreak="0">
    <w:nsid w:val="311A79E7"/>
    <w:multiLevelType w:val="hybridMultilevel"/>
    <w:tmpl w:val="A094FA88"/>
    <w:lvl w:ilvl="0" w:tplc="C832E27E">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5" w15:restartNumberingAfterBreak="0">
    <w:nsid w:val="488611BA"/>
    <w:multiLevelType w:val="hybridMultilevel"/>
    <w:tmpl w:val="347275A8"/>
    <w:lvl w:ilvl="0" w:tplc="7DFC9706">
      <w:start w:val="2"/>
      <w:numFmt w:val="bullet"/>
      <w:lvlText w:val="-"/>
      <w:lvlJc w:val="left"/>
      <w:pPr>
        <w:ind w:left="1080" w:hanging="360"/>
      </w:pPr>
      <w:rPr>
        <w:rFonts w:ascii="Calibri" w:eastAsiaTheme="minorHAnsi" w:hAnsi="Calibri" w:cs="Calibri" w:hint="default"/>
      </w:rPr>
    </w:lvl>
    <w:lvl w:ilvl="1" w:tplc="380A0003">
      <w:start w:val="1"/>
      <w:numFmt w:val="bullet"/>
      <w:lvlText w:val="o"/>
      <w:lvlJc w:val="left"/>
      <w:pPr>
        <w:ind w:left="1800" w:hanging="360"/>
      </w:pPr>
      <w:rPr>
        <w:rFonts w:ascii="Courier New" w:hAnsi="Courier New" w:cs="Courier New" w:hint="default"/>
      </w:rPr>
    </w:lvl>
    <w:lvl w:ilvl="2" w:tplc="380A0005">
      <w:start w:val="1"/>
      <w:numFmt w:val="bullet"/>
      <w:lvlText w:val=""/>
      <w:lvlJc w:val="left"/>
      <w:pPr>
        <w:ind w:left="2520" w:hanging="360"/>
      </w:pPr>
      <w:rPr>
        <w:rFonts w:ascii="Wingdings" w:hAnsi="Wingdings" w:hint="default"/>
      </w:rPr>
    </w:lvl>
    <w:lvl w:ilvl="3" w:tplc="380A0001">
      <w:start w:val="1"/>
      <w:numFmt w:val="bullet"/>
      <w:lvlText w:val=""/>
      <w:lvlJc w:val="left"/>
      <w:pPr>
        <w:ind w:left="3240" w:hanging="360"/>
      </w:pPr>
      <w:rPr>
        <w:rFonts w:ascii="Symbol" w:hAnsi="Symbol" w:hint="default"/>
      </w:rPr>
    </w:lvl>
    <w:lvl w:ilvl="4" w:tplc="380A0003">
      <w:start w:val="1"/>
      <w:numFmt w:val="bullet"/>
      <w:lvlText w:val="o"/>
      <w:lvlJc w:val="left"/>
      <w:pPr>
        <w:ind w:left="3960" w:hanging="360"/>
      </w:pPr>
      <w:rPr>
        <w:rFonts w:ascii="Courier New" w:hAnsi="Courier New" w:cs="Courier New" w:hint="default"/>
      </w:rPr>
    </w:lvl>
    <w:lvl w:ilvl="5" w:tplc="380A0005">
      <w:start w:val="1"/>
      <w:numFmt w:val="bullet"/>
      <w:lvlText w:val=""/>
      <w:lvlJc w:val="left"/>
      <w:pPr>
        <w:ind w:left="4680" w:hanging="360"/>
      </w:pPr>
      <w:rPr>
        <w:rFonts w:ascii="Wingdings" w:hAnsi="Wingdings" w:hint="default"/>
      </w:rPr>
    </w:lvl>
    <w:lvl w:ilvl="6" w:tplc="380A0001">
      <w:start w:val="1"/>
      <w:numFmt w:val="bullet"/>
      <w:lvlText w:val=""/>
      <w:lvlJc w:val="left"/>
      <w:pPr>
        <w:ind w:left="5400" w:hanging="360"/>
      </w:pPr>
      <w:rPr>
        <w:rFonts w:ascii="Symbol" w:hAnsi="Symbol" w:hint="default"/>
      </w:rPr>
    </w:lvl>
    <w:lvl w:ilvl="7" w:tplc="380A0003">
      <w:start w:val="1"/>
      <w:numFmt w:val="bullet"/>
      <w:lvlText w:val="o"/>
      <w:lvlJc w:val="left"/>
      <w:pPr>
        <w:ind w:left="6120" w:hanging="360"/>
      </w:pPr>
      <w:rPr>
        <w:rFonts w:ascii="Courier New" w:hAnsi="Courier New" w:cs="Courier New" w:hint="default"/>
      </w:rPr>
    </w:lvl>
    <w:lvl w:ilvl="8" w:tplc="380A0005">
      <w:start w:val="1"/>
      <w:numFmt w:val="bullet"/>
      <w:lvlText w:val=""/>
      <w:lvlJc w:val="left"/>
      <w:pPr>
        <w:ind w:left="6840" w:hanging="360"/>
      </w:pPr>
      <w:rPr>
        <w:rFonts w:ascii="Wingdings" w:hAnsi="Wingdings" w:hint="default"/>
      </w:rPr>
    </w:lvl>
  </w:abstractNum>
  <w:abstractNum w:abstractNumId="6" w15:restartNumberingAfterBreak="0">
    <w:nsid w:val="4DF90556"/>
    <w:multiLevelType w:val="hybridMultilevel"/>
    <w:tmpl w:val="C7A81B6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56095851"/>
    <w:multiLevelType w:val="hybridMultilevel"/>
    <w:tmpl w:val="BC3E1EEC"/>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8" w15:restartNumberingAfterBreak="0">
    <w:nsid w:val="745E026B"/>
    <w:multiLevelType w:val="hybridMultilevel"/>
    <w:tmpl w:val="37FABD2C"/>
    <w:lvl w:ilvl="0" w:tplc="380A0019">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9" w15:restartNumberingAfterBreak="0">
    <w:nsid w:val="7ECD48CA"/>
    <w:multiLevelType w:val="hybridMultilevel"/>
    <w:tmpl w:val="58E6E6F6"/>
    <w:lvl w:ilvl="0" w:tplc="F2F06432">
      <w:start w:val="2"/>
      <w:numFmt w:val="bullet"/>
      <w:lvlText w:val="-"/>
      <w:lvlJc w:val="left"/>
      <w:pPr>
        <w:ind w:left="1080" w:hanging="360"/>
      </w:pPr>
      <w:rPr>
        <w:rFonts w:ascii="Tahoma" w:eastAsiaTheme="minorHAnsi" w:hAnsi="Tahoma" w:cs="Tahoma"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3"/>
  </w:num>
  <w:num w:numId="7">
    <w:abstractNumId w:val="2"/>
  </w:num>
  <w:num w:numId="8">
    <w:abstractNumId w:val="7"/>
  </w:num>
  <w:num w:numId="9">
    <w:abstractNumId w:val="6"/>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A"/>
    <w:rsid w:val="002A3CFA"/>
    <w:rsid w:val="003E385D"/>
    <w:rsid w:val="00430785"/>
    <w:rsid w:val="00473072"/>
    <w:rsid w:val="00482C59"/>
    <w:rsid w:val="00494C1F"/>
    <w:rsid w:val="00576A28"/>
    <w:rsid w:val="0091295A"/>
    <w:rsid w:val="009C3D13"/>
    <w:rsid w:val="00C81413"/>
    <w:rsid w:val="00D266DA"/>
    <w:rsid w:val="00D71254"/>
    <w:rsid w:val="00FF4A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9F15B-DF9D-4C54-8850-70868AF0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2A3C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3CFA"/>
    <w:rPr>
      <w:sz w:val="20"/>
      <w:szCs w:val="20"/>
    </w:rPr>
  </w:style>
  <w:style w:type="paragraph" w:styleId="Prrafodelista">
    <w:name w:val="List Paragraph"/>
    <w:basedOn w:val="Normal"/>
    <w:uiPriority w:val="34"/>
    <w:qFormat/>
    <w:rsid w:val="002A3CFA"/>
    <w:pPr>
      <w:ind w:left="720"/>
      <w:contextualSpacing/>
    </w:pPr>
  </w:style>
  <w:style w:type="character" w:styleId="Refdecomentario">
    <w:name w:val="annotation reference"/>
    <w:basedOn w:val="Fuentedeprrafopredeter"/>
    <w:uiPriority w:val="99"/>
    <w:semiHidden/>
    <w:unhideWhenUsed/>
    <w:rsid w:val="002A3CFA"/>
    <w:rPr>
      <w:sz w:val="16"/>
      <w:szCs w:val="16"/>
    </w:rPr>
  </w:style>
  <w:style w:type="character" w:styleId="Hipervnculo">
    <w:name w:val="Hyperlink"/>
    <w:basedOn w:val="Fuentedeprrafopredeter"/>
    <w:uiPriority w:val="99"/>
    <w:unhideWhenUsed/>
    <w:rsid w:val="00FF4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mailto:proveedur&#237;a@miem.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Sanchez</dc:creator>
  <cp:keywords/>
  <dc:description/>
  <cp:lastModifiedBy>Claudia Erramuspe</cp:lastModifiedBy>
  <cp:revision>4</cp:revision>
  <dcterms:created xsi:type="dcterms:W3CDTF">2017-12-28T17:54:00Z</dcterms:created>
  <dcterms:modified xsi:type="dcterms:W3CDTF">2017-12-28T18:12:00Z</dcterms:modified>
</cp:coreProperties>
</file>