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</w:rPr>
      </w:pPr>
      <w:r w:rsidRPr="00095112">
        <w:rPr>
          <w:rFonts w:asciiTheme="minorHAnsi" w:hAnsiTheme="minorHAnsi" w:cs="Arial"/>
          <w:b/>
          <w:i/>
        </w:rPr>
        <w:t>MINISTERIO DEL INTERIOR</w:t>
      </w:r>
    </w:p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  <w:szCs w:val="28"/>
        </w:rPr>
      </w:pPr>
      <w:r w:rsidRPr="00095112">
        <w:rPr>
          <w:rFonts w:asciiTheme="minorHAnsi" w:hAnsiTheme="minorHAnsi" w:cs="Arial"/>
          <w:b/>
          <w:i/>
          <w:szCs w:val="28"/>
        </w:rPr>
        <w:t>DIRECCIÓN NACIONAL DE IDENTIFICACIÓN CIVIL</w:t>
      </w:r>
    </w:p>
    <w:p w:rsidR="00737EED" w:rsidRPr="00737EED" w:rsidRDefault="00737EED" w:rsidP="00737EED">
      <w:pPr>
        <w:jc w:val="both"/>
        <w:rPr>
          <w:rFonts w:asciiTheme="minorHAnsi" w:hAnsiTheme="minorHAnsi" w:cs="Arial"/>
          <w:b/>
          <w:i/>
          <w:szCs w:val="28"/>
        </w:rPr>
      </w:pPr>
      <w:r w:rsidRPr="00737EED">
        <w:rPr>
          <w:rFonts w:asciiTheme="minorHAnsi" w:hAnsiTheme="minorHAnsi" w:cs="Arial"/>
          <w:b/>
          <w:i/>
          <w:szCs w:val="28"/>
        </w:rPr>
        <w:t>DEPARTAMENTO DE ADMINISTRACIÓN</w:t>
      </w:r>
    </w:p>
    <w:p w:rsidR="00737EED" w:rsidRDefault="00737EED" w:rsidP="00737EED">
      <w:pPr>
        <w:jc w:val="both"/>
        <w:rPr>
          <w:rFonts w:cs="Arial"/>
        </w:rPr>
      </w:pPr>
    </w:p>
    <w:p w:rsidR="00737EED" w:rsidRDefault="00737EED" w:rsidP="00737EED">
      <w:pPr>
        <w:pStyle w:val="Ttulo7"/>
        <w:spacing w:line="240" w:lineRule="auto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i w:val="0"/>
          <w:iCs w:val="0"/>
          <w:u w:val="single"/>
        </w:rPr>
        <w:t>LICITACION  PÚBLICA INTERNACIONAL N° 01/2021</w:t>
      </w:r>
    </w:p>
    <w:p w:rsidR="00737EED" w:rsidRDefault="00737EED" w:rsidP="00737EED">
      <w:pPr>
        <w:pStyle w:val="Ttulo7"/>
        <w:spacing w:line="240" w:lineRule="auto"/>
        <w:ind w:left="2124"/>
        <w:rPr>
          <w:rFonts w:ascii="Arial" w:hAnsi="Arial" w:cs="Arial"/>
          <w:b/>
          <w:i w:val="0"/>
          <w:iCs w:val="0"/>
        </w:rPr>
      </w:pPr>
    </w:p>
    <w:p w:rsidR="00737EED" w:rsidRDefault="00737EED" w:rsidP="00737EED">
      <w:pPr>
        <w:jc w:val="both"/>
        <w:rPr>
          <w:rFonts w:cs="Arial"/>
          <w:b/>
          <w:bCs/>
          <w:i/>
          <w:iCs/>
          <w:lang w:val="es-UY"/>
        </w:rPr>
      </w:pPr>
    </w:p>
    <w:p w:rsidR="009A7A5A" w:rsidRDefault="001B18BD" w:rsidP="009228A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CONSULTA</w:t>
      </w:r>
      <w:r w:rsidR="0045508D">
        <w:rPr>
          <w:rFonts w:cs="Arial"/>
          <w:b/>
          <w:sz w:val="20"/>
          <w:szCs w:val="20"/>
        </w:rPr>
        <w:t>S</w:t>
      </w:r>
      <w:r w:rsidR="000E5452">
        <w:rPr>
          <w:rFonts w:cs="Arial"/>
          <w:b/>
          <w:sz w:val="20"/>
          <w:szCs w:val="20"/>
        </w:rPr>
        <w:t xml:space="preserve"> Y RESPUESTAS: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Anexo I- Especificaciones Técnicas</w:t>
      </w:r>
      <w:r>
        <w:rPr>
          <w:rFonts w:ascii="Calibri" w:hAnsi="Calibri" w:cs="Calibri"/>
          <w:color w:val="201F1E"/>
          <w:sz w:val="22"/>
          <w:szCs w:val="22"/>
        </w:rPr>
        <w:t>, la D.N.I.C informa que existen 37 oficinas de expedición de documentos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¿podrían infirmar si las estaciones deben entregarse e instalarse en cada una de las oficinas? ¿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podrían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informar la dirección de cada una de las oficinas y la cantidad de estaciones por oficina?</w:t>
      </w:r>
    </w:p>
    <w:p w:rsidR="000E5452" w:rsidRP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E5452">
        <w:rPr>
          <w:rFonts w:ascii="Calibri" w:hAnsi="Calibri" w:cs="Calibri"/>
          <w:b/>
          <w:color w:val="FF0000"/>
          <w:sz w:val="22"/>
          <w:szCs w:val="22"/>
        </w:rPr>
        <w:t>RESPUESTA: Las direcciones de las oficinas se encuentran en la página web de la DNIC.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Anexo I- Especificaciones Técnicas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- Estadística de cantidad de documentos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Consulta: </w:t>
      </w:r>
      <w:r w:rsidRPr="003406BC">
        <w:rPr>
          <w:rFonts w:ascii="Calibri" w:hAnsi="Calibri" w:cs="Calibri"/>
          <w:color w:val="201F1E"/>
          <w:sz w:val="22"/>
          <w:szCs w:val="22"/>
        </w:rPr>
        <w:t>¿Podrían enviar la estadística de los pasaportes emitidos en el año 2020?, dado que el cobro es proporcional a la cantidad de pasaportes emitidos es de importancia conocer esta cifra</w:t>
      </w:r>
    </w:p>
    <w:p w:rsidR="000E5452" w:rsidRP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E5452">
        <w:rPr>
          <w:rFonts w:ascii="Calibri" w:hAnsi="Calibri" w:cs="Calibri"/>
          <w:b/>
          <w:color w:val="FF0000"/>
          <w:sz w:val="22"/>
          <w:szCs w:val="22"/>
        </w:rPr>
        <w:t>RESPUESTA: No, no se publicaron dichas estadísticas porque el año 2020 estuvo en un contexto de pandemia a nivel mundial (fronteras cerradas).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Solicitud de Aud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ien</w:t>
      </w: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ci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a,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:¿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Pr="00E368F7">
        <w:rPr>
          <w:rFonts w:ascii="Calibri" w:hAnsi="Calibri" w:cs="Calibri"/>
          <w:color w:val="201F1E"/>
          <w:sz w:val="22"/>
          <w:szCs w:val="22"/>
        </w:rPr>
        <w:t>s</w:t>
      </w:r>
      <w:r>
        <w:rPr>
          <w:rFonts w:ascii="Calibri" w:hAnsi="Calibri" w:cs="Calibri"/>
          <w:color w:val="201F1E"/>
          <w:sz w:val="22"/>
          <w:szCs w:val="22"/>
        </w:rPr>
        <w:t>e requiere realizar alguna modificación sobre el sistema de solicitud de audiencias o solo se requiere la integración con dicho sistema?</w:t>
      </w:r>
    </w:p>
    <w:p w:rsidR="000E5452" w:rsidRPr="003E0BCD" w:rsidRDefault="003E0BCD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3E0BCD" w:rsidRDefault="003E0BCD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P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Modalidades de Emisión de documentos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E368F7">
        <w:rPr>
          <w:rFonts w:ascii="Calibri" w:hAnsi="Calibri" w:cs="Calibri"/>
          <w:b/>
          <w:bCs/>
          <w:color w:val="201F1E"/>
          <w:sz w:val="22"/>
          <w:szCs w:val="22"/>
        </w:rPr>
        <w:t>documento de identidad primera vez de menores de 5 años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, 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Consulta: </w:t>
      </w:r>
      <w:r w:rsidRPr="00E368F7">
        <w:rPr>
          <w:rFonts w:ascii="Calibri" w:hAnsi="Calibri" w:cs="Calibri"/>
          <w:color w:val="201F1E"/>
          <w:sz w:val="22"/>
          <w:szCs w:val="22"/>
        </w:rPr>
        <w:t>no mencionan el enrolamiento</w:t>
      </w:r>
      <w:r>
        <w:rPr>
          <w:rFonts w:ascii="Calibri" w:hAnsi="Calibri" w:cs="Calibri"/>
          <w:color w:val="201F1E"/>
          <w:sz w:val="22"/>
          <w:szCs w:val="22"/>
        </w:rPr>
        <w:t>,</w:t>
      </w:r>
      <w:r w:rsidRPr="00E368F7">
        <w:rPr>
          <w:rFonts w:ascii="Calibri" w:hAnsi="Calibri" w:cs="Calibri"/>
          <w:color w:val="201F1E"/>
          <w:sz w:val="22"/>
          <w:szCs w:val="22"/>
        </w:rPr>
        <w:t xml:space="preserve"> pero actualmente lo hacen</w:t>
      </w:r>
      <w:r>
        <w:rPr>
          <w:rFonts w:ascii="Calibri" w:hAnsi="Calibri" w:cs="Calibri"/>
          <w:color w:val="201F1E"/>
          <w:sz w:val="22"/>
          <w:szCs w:val="22"/>
        </w:rPr>
        <w:t xml:space="preserve"> en menores de 5 años, la consulta es si para el nuevo sistema no debe contemplarse ese enrolamiento en menores de 5 años o si por alguna razón se omitió en esa parte.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3E0BCD" w:rsidRDefault="003E0BCD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BD7DCF">
        <w:rPr>
          <w:rFonts w:ascii="Calibri" w:hAnsi="Calibri" w:cs="Calibri"/>
          <w:b/>
          <w:bCs/>
          <w:color w:val="201F1E"/>
          <w:sz w:val="22"/>
          <w:szCs w:val="22"/>
        </w:rPr>
        <w:t>Pasaporte primera vez y renovación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: 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Consulta: </w:t>
      </w:r>
      <w:r>
        <w:rPr>
          <w:rFonts w:ascii="Calibri" w:hAnsi="Calibri" w:cs="Calibri"/>
          <w:color w:val="201F1E"/>
          <w:sz w:val="22"/>
          <w:szCs w:val="22"/>
        </w:rPr>
        <w:t>E</w:t>
      </w:r>
      <w:r w:rsidRPr="00BD7DCF">
        <w:rPr>
          <w:rFonts w:ascii="Calibri" w:hAnsi="Calibri" w:cs="Calibri"/>
          <w:color w:val="201F1E"/>
          <w:sz w:val="22"/>
          <w:szCs w:val="22"/>
        </w:rPr>
        <w:t>n este punto tampoco se menciona el enrolamiento</w:t>
      </w:r>
      <w:r>
        <w:rPr>
          <w:rFonts w:ascii="Calibri" w:hAnsi="Calibri" w:cs="Calibri"/>
          <w:color w:val="201F1E"/>
          <w:sz w:val="22"/>
          <w:szCs w:val="22"/>
        </w:rPr>
        <w:t xml:space="preserve">, pero entendemos que actualmente lo hacen,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¿ 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debe contemplar o no este paso?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PUNTO 7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BD7DCF">
        <w:rPr>
          <w:rFonts w:ascii="Calibri" w:hAnsi="Calibri" w:cs="Calibri"/>
          <w:color w:val="201F1E"/>
          <w:sz w:val="22"/>
          <w:szCs w:val="22"/>
        </w:rPr>
        <w:t xml:space="preserve">Los usuarios, roles y niveles de acceso surgirán de un módulo de </w:t>
      </w:r>
      <w:r w:rsidRPr="00BD7DCF">
        <w:rPr>
          <w:rFonts w:ascii="Calibri" w:hAnsi="Calibri" w:cs="Calibri"/>
          <w:color w:val="201F1E"/>
          <w:sz w:val="22"/>
          <w:szCs w:val="22"/>
        </w:rPr>
        <w:lastRenderedPageBreak/>
        <w:t xml:space="preserve">administración auditable, pudiéndose conectar con el Active </w:t>
      </w:r>
      <w:proofErr w:type="spellStart"/>
      <w:r w:rsidRPr="00BD7DCF">
        <w:rPr>
          <w:rFonts w:ascii="Calibri" w:hAnsi="Calibri" w:cs="Calibri"/>
          <w:color w:val="201F1E"/>
          <w:sz w:val="22"/>
          <w:szCs w:val="22"/>
        </w:rPr>
        <w:t>Directory</w:t>
      </w:r>
      <w:proofErr w:type="spellEnd"/>
      <w:r w:rsidRPr="00BD7DCF">
        <w:rPr>
          <w:rFonts w:ascii="Calibri" w:hAnsi="Calibri" w:cs="Calibri"/>
          <w:color w:val="201F1E"/>
          <w:sz w:val="22"/>
          <w:szCs w:val="22"/>
        </w:rPr>
        <w:t xml:space="preserve"> o LDAP de la DNIC.</w:t>
      </w:r>
    </w:p>
    <w:p w:rsidR="000E5452" w:rsidRPr="00611C86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¿ Podrían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indicar los usuarios, roles y niveles de acceso que posee actualmente el sistema?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PUNTO 39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5564E1">
        <w:rPr>
          <w:rFonts w:ascii="Calibri" w:hAnsi="Calibri" w:cs="Calibri"/>
          <w:color w:val="201F1E"/>
          <w:sz w:val="22"/>
          <w:szCs w:val="22"/>
        </w:rPr>
        <w:t xml:space="preserve">Se deberá incluir la migración de la base de datos actual de la DNIC a la nueva </w:t>
      </w:r>
      <w:r w:rsidRPr="005564E1">
        <w:rPr>
          <w:rFonts w:ascii="Calibri" w:hAnsi="Calibri" w:cs="Calibri"/>
          <w:color w:val="201F1E"/>
          <w:sz w:val="22"/>
          <w:szCs w:val="22"/>
        </w:rPr>
        <w:br/>
        <w:t>plataforma en caso de requerirlo.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¿ podrían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indicar la cantidad de datos a migrar el formato y la estructura de la base de datos?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PUNTO 44.</w:t>
      </w:r>
      <w:r>
        <w:rPr>
          <w:rFonts w:ascii="Calibri" w:hAnsi="Calibri" w:cs="Calibri"/>
          <w:color w:val="201F1E"/>
          <w:sz w:val="22"/>
          <w:szCs w:val="22"/>
        </w:rPr>
        <w:t xml:space="preserve"> Se deberá proveer todo el hardware necesario para ejecutar la solución propuesta con redundancia y alta disponibilidad, debiéndose contemplar crecimiento de almacenamiento de la base de datos por 5 años.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27D8F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r>
        <w:rPr>
          <w:rFonts w:ascii="Calibri" w:hAnsi="Calibri" w:cs="Calibri"/>
          <w:color w:val="201F1E"/>
          <w:sz w:val="22"/>
          <w:szCs w:val="22"/>
        </w:rPr>
        <w:t>: ¿podrían por favor de indicar el tamaño de la BD actual y estimado de crecimiento anual?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49.</w:t>
      </w:r>
      <w:r>
        <w:rPr>
          <w:rFonts w:ascii="Calibri" w:hAnsi="Calibri" w:cs="Calibri"/>
          <w:color w:val="201F1E"/>
          <w:sz w:val="22"/>
          <w:szCs w:val="22"/>
        </w:rPr>
        <w:t xml:space="preserve"> Todo el hardware de la solución deberá contemplar los requerimientos para ser alojados en el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Datacenter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Antel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Pando.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 xml:space="preserve"> favor de indicar cuales son los requerimientos y si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Antel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proveerá los racks para alojar el correspondiente Hardware, ¿el pago del servicio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Antel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será asumido por la DNIC?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54.</w:t>
      </w:r>
      <w:r>
        <w:rPr>
          <w:rFonts w:ascii="Calibri" w:hAnsi="Calibri" w:cs="Calibri"/>
          <w:color w:val="201F1E"/>
          <w:sz w:val="22"/>
          <w:szCs w:val="22"/>
        </w:rPr>
        <w:t xml:space="preserve"> Las estaciones de trabajo deberán ser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monomarca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¿por favor podrían indicar a que se refiere con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monomarca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esto incluye a los dispositivos de datos biométricos, escáner, etc.??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67</w:t>
      </w:r>
      <w:r>
        <w:rPr>
          <w:rFonts w:ascii="Calibri" w:hAnsi="Calibri" w:cs="Calibri"/>
          <w:color w:val="201F1E"/>
          <w:sz w:val="22"/>
          <w:szCs w:val="22"/>
        </w:rPr>
        <w:t>. El soporte y mantenimiento del primer, segundo y tercer nivel estará a cargo del oferente.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: ¿</w:t>
      </w:r>
      <w:r w:rsidRPr="00196574">
        <w:rPr>
          <w:rFonts w:ascii="Calibri" w:hAnsi="Calibri" w:cs="Calibri"/>
          <w:color w:val="201F1E"/>
          <w:sz w:val="22"/>
          <w:szCs w:val="22"/>
        </w:rPr>
        <w:t>podrían indicar si la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DNIC se hará cargo de la mesa de ayuda para usuarios finales??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68</w:t>
      </w:r>
      <w:r>
        <w:rPr>
          <w:rFonts w:ascii="Calibri" w:hAnsi="Calibri" w:cs="Calibri"/>
          <w:color w:val="201F1E"/>
          <w:sz w:val="22"/>
          <w:szCs w:val="22"/>
        </w:rPr>
        <w:t xml:space="preserve">: </w:t>
      </w:r>
      <w:r w:rsidRPr="005564E1">
        <w:rPr>
          <w:rFonts w:ascii="Calibri" w:hAnsi="Calibri" w:cs="Calibri"/>
          <w:color w:val="201F1E"/>
          <w:sz w:val="22"/>
          <w:szCs w:val="22"/>
        </w:rPr>
        <w:t xml:space="preserve">Los oferentes deberán presentar un SLA tentativo atendiendo la realidad de </w:t>
      </w:r>
      <w:r w:rsidRPr="005564E1">
        <w:rPr>
          <w:rFonts w:ascii="Calibri" w:hAnsi="Calibri" w:cs="Calibri"/>
          <w:color w:val="201F1E"/>
          <w:sz w:val="22"/>
          <w:szCs w:val="22"/>
        </w:rPr>
        <w:br/>
        <w:t xml:space="preserve">emisión de documentos instantáneos de la DNIC. Una vez adjudicado se </w:t>
      </w:r>
      <w:r w:rsidRPr="005564E1">
        <w:rPr>
          <w:rFonts w:ascii="Calibri" w:hAnsi="Calibri" w:cs="Calibri"/>
          <w:color w:val="201F1E"/>
          <w:sz w:val="22"/>
          <w:szCs w:val="22"/>
        </w:rPr>
        <w:br/>
        <w:t>ajustará el mismo entre las partes.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¿podrían indicar el horario de emisión de documentos? ¿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requiere un soporte 5x8?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lastRenderedPageBreak/>
        <w:t>PUNTO 71.</w:t>
      </w:r>
      <w:r>
        <w:rPr>
          <w:rFonts w:ascii="Calibri" w:hAnsi="Calibri" w:cs="Calibri"/>
          <w:color w:val="201F1E"/>
          <w:sz w:val="22"/>
          <w:szCs w:val="22"/>
        </w:rPr>
        <w:t xml:space="preserve"> Se deberá presentar los currículos vitae y certificaciones de los técnicos de la empresa que participarán en la prestación del servicio.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Consulta: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¿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se deberá entregar para la presentación de propuesta o para luego de la adjudicación.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RESPUESTA: Para la presentación de la propuesta</w:t>
      </w:r>
      <w:r w:rsidRPr="003E0BCD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73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5564E1">
        <w:rPr>
          <w:rFonts w:ascii="Calibri" w:hAnsi="Calibri" w:cs="Calibri"/>
          <w:color w:val="201F1E"/>
          <w:sz w:val="22"/>
          <w:szCs w:val="22"/>
        </w:rPr>
        <w:t xml:space="preserve">El servicio de soporte y mantenimiento deberá disponer de una plataforma de </w:t>
      </w:r>
      <w:r w:rsidRPr="005564E1">
        <w:rPr>
          <w:rFonts w:ascii="Calibri" w:hAnsi="Calibri" w:cs="Calibri"/>
          <w:color w:val="201F1E"/>
          <w:sz w:val="22"/>
          <w:szCs w:val="22"/>
        </w:rPr>
        <w:br/>
        <w:t xml:space="preserve">seguimiento de incidencias en línea y </w:t>
      </w:r>
      <w:proofErr w:type="spellStart"/>
      <w:r w:rsidRPr="005564E1">
        <w:rPr>
          <w:rFonts w:ascii="Calibri" w:hAnsi="Calibri" w:cs="Calibri"/>
          <w:color w:val="201F1E"/>
          <w:sz w:val="22"/>
          <w:szCs w:val="22"/>
        </w:rPr>
        <w:t>multidispositivo</w:t>
      </w:r>
      <w:proofErr w:type="spellEnd"/>
      <w:r w:rsidRPr="005564E1">
        <w:rPr>
          <w:rFonts w:ascii="Calibri" w:hAnsi="Calibri" w:cs="Calibri"/>
          <w:color w:val="201F1E"/>
          <w:sz w:val="22"/>
          <w:szCs w:val="22"/>
        </w:rPr>
        <w:t>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r>
        <w:rPr>
          <w:rFonts w:ascii="Calibri" w:hAnsi="Calibri" w:cs="Calibri"/>
          <w:color w:val="201F1E"/>
          <w:sz w:val="22"/>
          <w:szCs w:val="22"/>
        </w:rPr>
        <w:t xml:space="preserve">: ¿se refieren a un sistema para que la DNIC pueda cargar los incidentes y hacer seguimiento? ¿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qué se refieren con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multidispositivo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74.</w:t>
      </w:r>
      <w:r>
        <w:rPr>
          <w:rFonts w:ascii="Calibri" w:hAnsi="Calibri" w:cs="Calibri"/>
          <w:color w:val="201F1E"/>
          <w:sz w:val="22"/>
          <w:szCs w:val="22"/>
        </w:rPr>
        <w:t xml:space="preserve"> Se requerirá prestar soporte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on-site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(1 persona) durante el horario de oficina (La V de 7:00 AM a 17:00) durante los 6 primeros meses luego de la puesta en producción de la solución para las oficinas de Rincón 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Geant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luego de esto el soporte pasará a ser remoto con presencia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on-site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en un plazo no mayor a 90 minutos sólo en caso de que sea necesario.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Consulta: </w:t>
      </w:r>
      <w:r w:rsidRPr="00A46A59">
        <w:rPr>
          <w:rFonts w:ascii="Calibri" w:hAnsi="Calibri" w:cs="Calibri"/>
          <w:color w:val="201F1E"/>
          <w:sz w:val="22"/>
          <w:szCs w:val="22"/>
        </w:rPr>
        <w:t>¿se deberá contemplar un técnico por sitio o 1 para cada sitio?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76</w:t>
      </w:r>
      <w:r>
        <w:rPr>
          <w:rFonts w:ascii="Calibri" w:hAnsi="Calibri" w:cs="Calibri"/>
          <w:color w:val="201F1E"/>
          <w:sz w:val="22"/>
          <w:szCs w:val="22"/>
        </w:rPr>
        <w:t xml:space="preserve">. Se deberá hacer un relevamiento previo a la implementación de la solución haciendo foco en temas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ciberseguridad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procesos y calidad de atención.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favor de detallar los temas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ciberseguridad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procesos y calidad de atención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firstLine="45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78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127D8F">
        <w:rPr>
          <w:rFonts w:ascii="Calibri" w:hAnsi="Calibri" w:cs="Calibri"/>
          <w:color w:val="201F1E"/>
          <w:sz w:val="22"/>
          <w:szCs w:val="22"/>
        </w:rPr>
        <w:t xml:space="preserve">Se deberá entregar la documentación de la solución, manuales y transferencia </w:t>
      </w:r>
      <w:r w:rsidRPr="00127D8F">
        <w:rPr>
          <w:rFonts w:ascii="Calibri" w:hAnsi="Calibri" w:cs="Calibri"/>
          <w:color w:val="201F1E"/>
          <w:sz w:val="22"/>
          <w:szCs w:val="22"/>
        </w:rPr>
        <w:br/>
        <w:t>de conocimiento a la DNIC.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</w:t>
      </w:r>
      <w:proofErr w:type="gramStart"/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:¿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la transferencia de conocimiento debe ser presencial o puede ser on-line?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79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127D8F">
        <w:rPr>
          <w:rFonts w:ascii="Calibri" w:hAnsi="Calibri" w:cs="Calibri"/>
          <w:color w:val="201F1E"/>
          <w:sz w:val="22"/>
          <w:szCs w:val="22"/>
        </w:rPr>
        <w:t xml:space="preserve">Se deberá entregar un plan de capacitación con certificados de evaluación para los funcionarios </w:t>
      </w:r>
      <w:r>
        <w:rPr>
          <w:rFonts w:ascii="Calibri" w:hAnsi="Calibri" w:cs="Calibri"/>
          <w:color w:val="201F1E"/>
          <w:sz w:val="22"/>
          <w:szCs w:val="22"/>
        </w:rPr>
        <w:t>contemplando</w:t>
      </w:r>
      <w:r w:rsidRPr="00127D8F">
        <w:rPr>
          <w:rFonts w:ascii="Calibri" w:hAnsi="Calibri" w:cs="Calibri"/>
          <w:color w:val="201F1E"/>
          <w:sz w:val="22"/>
          <w:szCs w:val="22"/>
        </w:rPr>
        <w:t xml:space="preserve"> la distribución </w:t>
      </w:r>
      <w:r>
        <w:rPr>
          <w:rFonts w:ascii="Calibri" w:hAnsi="Calibri" w:cs="Calibri"/>
          <w:color w:val="201F1E"/>
          <w:sz w:val="22"/>
          <w:szCs w:val="22"/>
        </w:rPr>
        <w:t>geográfica</w:t>
      </w:r>
      <w:r w:rsidRPr="00127D8F">
        <w:rPr>
          <w:rFonts w:ascii="Calibri" w:hAnsi="Calibri" w:cs="Calibri"/>
          <w:color w:val="201F1E"/>
          <w:sz w:val="22"/>
          <w:szCs w:val="22"/>
        </w:rPr>
        <w:t xml:space="preserve"> de la DNIC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 w:rsidRPr="00127D8F">
        <w:rPr>
          <w:rFonts w:ascii="Calibri" w:hAnsi="Calibri" w:cs="Calibri"/>
          <w:color w:val="201F1E"/>
          <w:sz w:val="22"/>
          <w:szCs w:val="22"/>
        </w:rPr>
        <w:t>¿ La</w:t>
      </w:r>
      <w:proofErr w:type="gramEnd"/>
      <w:r w:rsidRPr="00127D8F">
        <w:rPr>
          <w:rFonts w:ascii="Calibri" w:hAnsi="Calibri" w:cs="Calibri"/>
          <w:color w:val="201F1E"/>
          <w:sz w:val="22"/>
          <w:szCs w:val="22"/>
        </w:rPr>
        <w:t xml:space="preserve"> transferencia de conocimiento será centralizada en Montevideo</w:t>
      </w:r>
      <w:r>
        <w:rPr>
          <w:rFonts w:ascii="Calibri" w:hAnsi="Calibri" w:cs="Calibri"/>
          <w:color w:val="201F1E"/>
          <w:sz w:val="22"/>
          <w:szCs w:val="22"/>
        </w:rPr>
        <w:t xml:space="preserve"> por grupos según distribución geográfica </w:t>
      </w:r>
      <w:r w:rsidRPr="00127D8F">
        <w:rPr>
          <w:rFonts w:ascii="Calibri" w:hAnsi="Calibri" w:cs="Calibri"/>
          <w:color w:val="201F1E"/>
          <w:sz w:val="22"/>
          <w:szCs w:val="22"/>
        </w:rPr>
        <w:t>? ¿</w:t>
      </w:r>
      <w:proofErr w:type="gramStart"/>
      <w:r w:rsidRPr="00127D8F">
        <w:rPr>
          <w:rFonts w:ascii="Calibri" w:hAnsi="Calibri" w:cs="Calibri"/>
          <w:color w:val="201F1E"/>
          <w:sz w:val="22"/>
          <w:szCs w:val="22"/>
        </w:rPr>
        <w:t>o</w:t>
      </w:r>
      <w:proofErr w:type="gramEnd"/>
      <w:r w:rsidRPr="00127D8F">
        <w:rPr>
          <w:rFonts w:ascii="Calibri" w:hAnsi="Calibri" w:cs="Calibri"/>
          <w:color w:val="201F1E"/>
          <w:sz w:val="22"/>
          <w:szCs w:val="22"/>
        </w:rPr>
        <w:t xml:space="preserve"> se requiere realizar en cada oficina a nivel nacional?</w:t>
      </w:r>
      <w:r>
        <w:rPr>
          <w:rFonts w:ascii="Calibri" w:hAnsi="Calibri" w:cs="Calibri"/>
          <w:color w:val="201F1E"/>
          <w:sz w:val="22"/>
          <w:szCs w:val="22"/>
        </w:rPr>
        <w:t xml:space="preserve"> ¿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podrían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indicar la cantidad de funcionarios a capacitar?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E0BCD">
        <w:rPr>
          <w:rFonts w:ascii="Calibri" w:hAnsi="Calibri" w:cs="Calibri"/>
          <w:b/>
          <w:color w:val="FF0000"/>
          <w:sz w:val="22"/>
          <w:szCs w:val="22"/>
        </w:rPr>
        <w:t>RESPUESTA: NO SE PUBLICA.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0E5452" w:rsidRDefault="000E5452" w:rsidP="000E5452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PUNTO 81.</w:t>
      </w:r>
      <w:r>
        <w:rPr>
          <w:rFonts w:ascii="Calibri" w:hAnsi="Calibri" w:cs="Calibri"/>
          <w:color w:val="201F1E"/>
          <w:sz w:val="22"/>
          <w:szCs w:val="22"/>
        </w:rPr>
        <w:t xml:space="preserve">  Se deberá proveer los currículums y las certificaciones de los profesionales que participarán de la consultoría.</w:t>
      </w:r>
    </w:p>
    <w:p w:rsidR="000E5452" w:rsidRDefault="000E5452" w:rsidP="000E5452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201F1E"/>
          <w:sz w:val="22"/>
          <w:szCs w:val="22"/>
        </w:rPr>
      </w:pPr>
      <w:r w:rsidRPr="00196574">
        <w:rPr>
          <w:rFonts w:ascii="Calibri" w:hAnsi="Calibri" w:cs="Calibri"/>
          <w:b/>
          <w:bCs/>
          <w:color w:val="201F1E"/>
          <w:sz w:val="22"/>
          <w:szCs w:val="22"/>
        </w:rPr>
        <w:t>Consulta: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¿ los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CV se deberán presentar en el proceso licitatorio o una vez adjudicados?</w:t>
      </w:r>
    </w:p>
    <w:p w:rsidR="003E0BCD" w:rsidRPr="003E0BCD" w:rsidRDefault="003E0BCD" w:rsidP="003E0B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RESPUESTA: En el proceso licitatorio</w:t>
      </w:r>
      <w:r w:rsidRPr="003E0BCD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1B18BD" w:rsidRPr="000E5452" w:rsidRDefault="001B18BD" w:rsidP="001B18BD">
      <w:pPr>
        <w:rPr>
          <w:rFonts w:cs="Arial"/>
          <w:b/>
          <w:sz w:val="20"/>
          <w:szCs w:val="20"/>
          <w:lang w:val="es-AR"/>
        </w:rPr>
      </w:pPr>
    </w:p>
    <w:sectPr w:rsidR="001B18BD" w:rsidRPr="000E5452" w:rsidSect="00E91CE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52" w:rsidRDefault="000E5452" w:rsidP="00E91CED">
      <w:pPr>
        <w:spacing w:after="0" w:line="240" w:lineRule="auto"/>
      </w:pPr>
      <w:r>
        <w:separator/>
      </w:r>
    </w:p>
  </w:endnote>
  <w:endnote w:type="continuationSeparator" w:id="0">
    <w:p w:rsidR="000E5452" w:rsidRDefault="000E5452" w:rsidP="00E9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2" w:rsidRDefault="000E5452" w:rsidP="001A0DEC">
    <w:pPr>
      <w:pStyle w:val="Ttulo8"/>
      <w:tabs>
        <w:tab w:val="left" w:pos="4253"/>
      </w:tabs>
      <w:jc w:val="center"/>
      <w:rPr>
        <w:iCs w:val="0"/>
        <w:sz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5EE0646B" wp14:editId="61795428">
          <wp:simplePos x="0" y="0"/>
          <wp:positionH relativeFrom="column">
            <wp:posOffset>2413635</wp:posOffset>
          </wp:positionH>
          <wp:positionV relativeFrom="paragraph">
            <wp:posOffset>-102235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n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5452" w:rsidRDefault="000E5452" w:rsidP="00B65FEC">
    <w:pPr>
      <w:pStyle w:val="Ttulo8"/>
      <w:jc w:val="center"/>
      <w:rPr>
        <w:iCs w:val="0"/>
        <w:sz w:val="18"/>
        <w:lang w:val="es-ES"/>
      </w:rPr>
    </w:pPr>
  </w:p>
  <w:p w:rsidR="000E5452" w:rsidRDefault="000E5452" w:rsidP="00B65FEC">
    <w:pPr>
      <w:pStyle w:val="Ttulo8"/>
      <w:jc w:val="center"/>
      <w:rPr>
        <w:iCs w:val="0"/>
        <w:sz w:val="18"/>
        <w:lang w:val="es-ES"/>
      </w:rPr>
    </w:pPr>
  </w:p>
  <w:p w:rsidR="000E5452" w:rsidRDefault="000E5452" w:rsidP="00B65FEC">
    <w:pPr>
      <w:pStyle w:val="Ttulo8"/>
      <w:jc w:val="center"/>
      <w:rPr>
        <w:iCs w:val="0"/>
        <w:sz w:val="18"/>
        <w:lang w:val="es-ES"/>
      </w:rPr>
    </w:pPr>
  </w:p>
  <w:p w:rsidR="000E5452" w:rsidRPr="002A7DB6" w:rsidRDefault="000E5452" w:rsidP="00B65FEC">
    <w:pPr>
      <w:pStyle w:val="Ttulo8"/>
      <w:jc w:val="center"/>
      <w:rPr>
        <w:iCs w:val="0"/>
        <w:sz w:val="18"/>
        <w:lang w:val="es-ES"/>
      </w:rPr>
    </w:pPr>
    <w:r w:rsidRPr="002A7DB6">
      <w:rPr>
        <w:iCs w:val="0"/>
        <w:sz w:val="18"/>
        <w:lang w:val="es-ES"/>
      </w:rPr>
      <w:t xml:space="preserve">Rincón </w:t>
    </w:r>
    <w:smartTag w:uri="urn:schemas-microsoft-com:office:smarttags" w:element="metricconverter">
      <w:smartTagPr>
        <w:attr w:name="ProductID" w:val="665 C"/>
      </w:smartTagPr>
      <w:r w:rsidRPr="002A7DB6">
        <w:rPr>
          <w:iCs w:val="0"/>
          <w:sz w:val="18"/>
          <w:lang w:val="es-ES"/>
        </w:rPr>
        <w:t>665 C</w:t>
      </w:r>
    </w:smartTag>
    <w:r w:rsidRPr="002A7DB6">
      <w:rPr>
        <w:iCs w:val="0"/>
        <w:sz w:val="18"/>
        <w:lang w:val="es-ES"/>
      </w:rPr>
      <w:t>.P 11.000 Telefax. 2030 3700 Telefax 2915 63 31</w:t>
    </w:r>
  </w:p>
  <w:p w:rsidR="000E5452" w:rsidRPr="002A7DB6" w:rsidRDefault="000E5452" w:rsidP="00B65FEC">
    <w:pPr>
      <w:pStyle w:val="Ttulo9"/>
      <w:rPr>
        <w:rFonts w:ascii="Arial" w:hAnsi="Arial" w:cs="Arial"/>
        <w:b/>
        <w:bCs/>
        <w:i w:val="0"/>
        <w:iCs w:val="0"/>
        <w:lang w:val="es-ES"/>
      </w:rPr>
    </w:pPr>
    <w:r w:rsidRPr="002A7DB6">
      <w:rPr>
        <w:rFonts w:ascii="Arial" w:hAnsi="Arial" w:cs="Arial"/>
        <w:lang w:val="es-ES"/>
      </w:rPr>
      <w:t xml:space="preserve">E-mail </w:t>
    </w:r>
    <w:hyperlink r:id="rId2" w:history="1">
      <w:r w:rsidRPr="002A7DB6">
        <w:rPr>
          <w:rStyle w:val="Hipervnculo"/>
          <w:rFonts w:ascii="Arial" w:hAnsi="Arial" w:cs="Arial"/>
          <w:lang w:val="es-ES"/>
        </w:rPr>
        <w:t>rrpp@dnic.gub.uy</w:t>
      </w:r>
    </w:hyperlink>
  </w:p>
  <w:p w:rsidR="000E5452" w:rsidRPr="00B65FEC" w:rsidRDefault="000E5452" w:rsidP="00B65F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52" w:rsidRDefault="000E5452" w:rsidP="00E91CED">
      <w:pPr>
        <w:spacing w:after="0" w:line="240" w:lineRule="auto"/>
      </w:pPr>
      <w:r>
        <w:separator/>
      </w:r>
    </w:p>
  </w:footnote>
  <w:footnote w:type="continuationSeparator" w:id="0">
    <w:p w:rsidR="000E5452" w:rsidRDefault="000E5452" w:rsidP="00E9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2" w:rsidRDefault="000E54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1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2" w:rsidRDefault="000E5452" w:rsidP="00A6362E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785D5CC" wp14:editId="4467D843">
          <wp:simplePos x="0" y="0"/>
          <wp:positionH relativeFrom="page">
            <wp:posOffset>2840990</wp:posOffset>
          </wp:positionH>
          <wp:positionV relativeFrom="page">
            <wp:posOffset>323850</wp:posOffset>
          </wp:positionV>
          <wp:extent cx="1879200" cy="975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OFICIAL USO INTERNO caro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5452" w:rsidRDefault="000E5452">
    <w:pPr>
      <w:pStyle w:val="Encabezado"/>
    </w:pPr>
  </w:p>
  <w:p w:rsidR="000E5452" w:rsidRDefault="000E5452">
    <w:pPr>
      <w:pStyle w:val="Encabezado"/>
    </w:pPr>
  </w:p>
  <w:p w:rsidR="000E5452" w:rsidRDefault="000E5452">
    <w:pPr>
      <w:pStyle w:val="Encabezado"/>
    </w:pPr>
  </w:p>
  <w:p w:rsidR="000E5452" w:rsidRDefault="000E54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2" w:rsidRDefault="000E54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0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72"/>
    <w:multiLevelType w:val="hybridMultilevel"/>
    <w:tmpl w:val="CFEE5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E7"/>
    <w:multiLevelType w:val="hybridMultilevel"/>
    <w:tmpl w:val="24343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337"/>
    <w:multiLevelType w:val="hybridMultilevel"/>
    <w:tmpl w:val="376EFF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6D5"/>
    <w:multiLevelType w:val="hybridMultilevel"/>
    <w:tmpl w:val="4232C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3D63"/>
    <w:multiLevelType w:val="hybridMultilevel"/>
    <w:tmpl w:val="76064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12CE"/>
    <w:multiLevelType w:val="hybridMultilevel"/>
    <w:tmpl w:val="4232C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6757"/>
    <w:multiLevelType w:val="hybridMultilevel"/>
    <w:tmpl w:val="F36AE336"/>
    <w:lvl w:ilvl="0" w:tplc="BB38C1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414162B"/>
    <w:multiLevelType w:val="hybridMultilevel"/>
    <w:tmpl w:val="B568D416"/>
    <w:lvl w:ilvl="0" w:tplc="C9BA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2853"/>
    <w:multiLevelType w:val="hybridMultilevel"/>
    <w:tmpl w:val="76064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0F19"/>
    <w:multiLevelType w:val="hybridMultilevel"/>
    <w:tmpl w:val="EDA449C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44E153D"/>
    <w:multiLevelType w:val="hybridMultilevel"/>
    <w:tmpl w:val="1818C9AE"/>
    <w:lvl w:ilvl="0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1">
    <w:nsid w:val="75977D93"/>
    <w:multiLevelType w:val="hybridMultilevel"/>
    <w:tmpl w:val="96189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139D0"/>
    <w:multiLevelType w:val="hybridMultilevel"/>
    <w:tmpl w:val="B738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569B"/>
    <w:multiLevelType w:val="hybridMultilevel"/>
    <w:tmpl w:val="B738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9"/>
    <w:rsid w:val="00095112"/>
    <w:rsid w:val="000E5452"/>
    <w:rsid w:val="00153EEF"/>
    <w:rsid w:val="001A0DEC"/>
    <w:rsid w:val="001B18BD"/>
    <w:rsid w:val="00202524"/>
    <w:rsid w:val="00290919"/>
    <w:rsid w:val="002A7DB6"/>
    <w:rsid w:val="003E0BCD"/>
    <w:rsid w:val="00441FAB"/>
    <w:rsid w:val="00444954"/>
    <w:rsid w:val="0045508D"/>
    <w:rsid w:val="00480ECD"/>
    <w:rsid w:val="00510EC2"/>
    <w:rsid w:val="00551422"/>
    <w:rsid w:val="00582CEC"/>
    <w:rsid w:val="00620544"/>
    <w:rsid w:val="006432FA"/>
    <w:rsid w:val="006661EF"/>
    <w:rsid w:val="00737EED"/>
    <w:rsid w:val="00827640"/>
    <w:rsid w:val="0087458D"/>
    <w:rsid w:val="00897C57"/>
    <w:rsid w:val="008B2BBD"/>
    <w:rsid w:val="009228A3"/>
    <w:rsid w:val="009A7A5A"/>
    <w:rsid w:val="00A6362E"/>
    <w:rsid w:val="00A75BFF"/>
    <w:rsid w:val="00A76303"/>
    <w:rsid w:val="00B65FEC"/>
    <w:rsid w:val="00B90546"/>
    <w:rsid w:val="00C054F1"/>
    <w:rsid w:val="00D57E90"/>
    <w:rsid w:val="00E25466"/>
    <w:rsid w:val="00E64FDD"/>
    <w:rsid w:val="00E80117"/>
    <w:rsid w:val="00E91CED"/>
    <w:rsid w:val="00EB44DE"/>
    <w:rsid w:val="00EC7C38"/>
    <w:rsid w:val="00ED65B5"/>
    <w:rsid w:val="00F609D1"/>
    <w:rsid w:val="00F77D9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1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msonormal">
    <w:name w:val="x_msonormal"/>
    <w:basedOn w:val="Normal"/>
    <w:rsid w:val="000E5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default">
    <w:name w:val="default"/>
    <w:basedOn w:val="Normal"/>
    <w:rsid w:val="001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msonormal">
    <w:name w:val="x_msonormal"/>
    <w:basedOn w:val="Normal"/>
    <w:rsid w:val="000E5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pp@dnic.gub.uy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Mariana DE LOS SANTOS dos SANTOS CRUZ</cp:lastModifiedBy>
  <cp:revision>3</cp:revision>
  <cp:lastPrinted>2020-10-01T19:08:00Z</cp:lastPrinted>
  <dcterms:created xsi:type="dcterms:W3CDTF">2021-10-27T13:24:00Z</dcterms:created>
  <dcterms:modified xsi:type="dcterms:W3CDTF">2021-10-27T13:48:00Z</dcterms:modified>
</cp:coreProperties>
</file>