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B01" w:rsidRPr="002E3D6B" w:rsidRDefault="005B1B01" w:rsidP="005B1B01">
      <w:pPr>
        <w:jc w:val="both"/>
        <w:rPr>
          <w:rFonts w:ascii="Arial" w:hAnsi="Arial" w:cs="Arial"/>
          <w:strike/>
          <w:sz w:val="22"/>
          <w:szCs w:val="22"/>
          <w:lang w:val="es-UY"/>
        </w:rPr>
      </w:pPr>
    </w:p>
    <w:p w:rsidR="00CB2177" w:rsidRDefault="00A6659E" w:rsidP="00CB2177">
      <w:pPr>
        <w:pStyle w:val="Default"/>
        <w:spacing w:line="360" w:lineRule="auto"/>
        <w:jc w:val="center"/>
      </w:pPr>
      <w:r>
        <w:rPr>
          <w:b/>
          <w:bCs/>
        </w:rPr>
        <w:t>LICITA</w:t>
      </w:r>
      <w:r w:rsidR="00590203">
        <w:rPr>
          <w:b/>
          <w:bCs/>
        </w:rPr>
        <w:t>CIÓN PÚBLICA INTERNACIONAL Nº14</w:t>
      </w:r>
      <w:r w:rsidR="00CD21AC">
        <w:rPr>
          <w:b/>
          <w:bCs/>
        </w:rPr>
        <w:t>5</w:t>
      </w:r>
      <w:r w:rsidR="00590203">
        <w:rPr>
          <w:b/>
          <w:bCs/>
        </w:rPr>
        <w:t>/2019</w:t>
      </w:r>
    </w:p>
    <w:p w:rsidR="00CB2177" w:rsidRDefault="00590203" w:rsidP="0059020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590203">
        <w:rPr>
          <w:rFonts w:ascii="Arial" w:hAnsi="Arial" w:cs="Arial"/>
          <w:b/>
          <w:bCs/>
        </w:rPr>
        <w:t>Proyecto Ejecutivo y Construcción d</w:t>
      </w:r>
      <w:r w:rsidR="00FE1605">
        <w:rPr>
          <w:rFonts w:ascii="Arial" w:hAnsi="Arial" w:cs="Arial"/>
          <w:b/>
          <w:bCs/>
        </w:rPr>
        <w:t>e las Obras de Viviendas y 2 Salones</w:t>
      </w:r>
      <w:r w:rsidRPr="00590203">
        <w:rPr>
          <w:rFonts w:ascii="Arial" w:hAnsi="Arial" w:cs="Arial"/>
          <w:b/>
          <w:bCs/>
        </w:rPr>
        <w:t xml:space="preserve"> de Usos </w:t>
      </w:r>
      <w:r w:rsidR="00CD21AC">
        <w:rPr>
          <w:rFonts w:ascii="Arial" w:hAnsi="Arial" w:cs="Arial"/>
          <w:b/>
          <w:bCs/>
        </w:rPr>
        <w:t xml:space="preserve">Múltiples en los Padrones </w:t>
      </w:r>
      <w:r w:rsidR="00DA1FDC">
        <w:rPr>
          <w:rFonts w:ascii="Arial" w:hAnsi="Arial" w:cs="Arial"/>
          <w:b/>
          <w:bCs/>
        </w:rPr>
        <w:t>N.º</w:t>
      </w:r>
      <w:r w:rsidR="00CD21AC">
        <w:rPr>
          <w:rFonts w:ascii="Arial" w:hAnsi="Arial" w:cs="Arial"/>
          <w:b/>
          <w:bCs/>
        </w:rPr>
        <w:t xml:space="preserve"> 423672 y </w:t>
      </w:r>
      <w:r w:rsidR="00661195">
        <w:rPr>
          <w:rFonts w:ascii="Arial" w:hAnsi="Arial" w:cs="Arial"/>
          <w:b/>
          <w:bCs/>
        </w:rPr>
        <w:t xml:space="preserve">429554 </w:t>
      </w:r>
      <w:r w:rsidR="00661195" w:rsidRPr="00590203">
        <w:rPr>
          <w:rFonts w:ascii="Arial" w:hAnsi="Arial" w:cs="Arial"/>
          <w:b/>
          <w:bCs/>
        </w:rPr>
        <w:t>en</w:t>
      </w:r>
      <w:r w:rsidRPr="00590203">
        <w:rPr>
          <w:rFonts w:ascii="Arial" w:hAnsi="Arial" w:cs="Arial"/>
          <w:b/>
          <w:bCs/>
        </w:rPr>
        <w:t xml:space="preserve"> la Ciudad de Montevideo</w:t>
      </w:r>
    </w:p>
    <w:p w:rsidR="00661955" w:rsidRDefault="00661955" w:rsidP="00CB2177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CB2177" w:rsidRDefault="00CB2177" w:rsidP="00CB21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CIRCULAR</w:t>
      </w:r>
      <w:r w:rsidR="00AD4A18">
        <w:rPr>
          <w:rFonts w:ascii="Arial" w:hAnsi="Arial" w:cs="Arial"/>
          <w:b/>
          <w:bCs/>
        </w:rPr>
        <w:t xml:space="preserve"> N°3</w:t>
      </w:r>
    </w:p>
    <w:p w:rsidR="00A84A3A" w:rsidRDefault="00A84A3A" w:rsidP="00CB2177">
      <w:pPr>
        <w:jc w:val="center"/>
        <w:rPr>
          <w:rFonts w:ascii="Arial" w:hAnsi="Arial" w:cs="Arial"/>
          <w:b/>
          <w:bCs/>
        </w:rPr>
      </w:pPr>
    </w:p>
    <w:p w:rsidR="00387E31" w:rsidRDefault="00387E31" w:rsidP="00A84A3A">
      <w:pPr>
        <w:spacing w:line="360" w:lineRule="auto"/>
        <w:rPr>
          <w:rFonts w:ascii="Arial" w:hAnsi="Arial" w:cs="Arial"/>
          <w:lang w:val="es-UY"/>
        </w:rPr>
      </w:pPr>
    </w:p>
    <w:p w:rsidR="00A84A3A" w:rsidRDefault="00A84A3A" w:rsidP="00A84A3A">
      <w:pPr>
        <w:spacing w:line="360" w:lineRule="auto"/>
        <w:rPr>
          <w:rFonts w:ascii="Arial" w:hAnsi="Arial" w:cs="Arial"/>
          <w:bCs/>
          <w:iCs/>
          <w:kern w:val="0"/>
          <w:lang w:val="es-ES" w:bidi="ar-SA"/>
        </w:rPr>
      </w:pPr>
      <w:r w:rsidRPr="001D2F88">
        <w:rPr>
          <w:rFonts w:ascii="Arial" w:hAnsi="Arial" w:cs="Arial"/>
          <w:lang w:val="es-UY"/>
        </w:rPr>
        <w:t>Por</w:t>
      </w:r>
      <w:r w:rsidRPr="001D2F88">
        <w:rPr>
          <w:rFonts w:ascii="Arial" w:hAnsi="Arial" w:cs="Arial"/>
          <w:iCs/>
          <w:kern w:val="0"/>
          <w:lang w:val="es-ES" w:bidi="ar-SA"/>
        </w:rPr>
        <w:t xml:space="preserve"> este medio, se realizan las siguientes </w:t>
      </w:r>
      <w:r>
        <w:rPr>
          <w:rFonts w:ascii="Arial" w:hAnsi="Arial" w:cs="Arial"/>
          <w:b/>
          <w:iCs/>
          <w:kern w:val="0"/>
          <w:lang w:val="es-ES" w:bidi="ar-SA"/>
        </w:rPr>
        <w:t>aclaraciones con</w:t>
      </w:r>
      <w:r w:rsidRPr="001D2F88">
        <w:rPr>
          <w:rFonts w:ascii="Arial" w:hAnsi="Arial" w:cs="Arial"/>
          <w:b/>
          <w:iCs/>
          <w:kern w:val="0"/>
          <w:lang w:val="es-ES" w:bidi="ar-SA"/>
        </w:rPr>
        <w:t xml:space="preserve"> consulta</w:t>
      </w:r>
      <w:r w:rsidRPr="001D2F88">
        <w:rPr>
          <w:rFonts w:ascii="Arial" w:hAnsi="Arial" w:cs="Arial"/>
          <w:iCs/>
          <w:kern w:val="0"/>
          <w:lang w:val="es-ES" w:bidi="ar-SA"/>
        </w:rPr>
        <w:t xml:space="preserve"> a la </w:t>
      </w:r>
      <w:r w:rsidRPr="001D2F88">
        <w:rPr>
          <w:rFonts w:ascii="Arial" w:hAnsi="Arial" w:cs="Arial"/>
          <w:bCs/>
          <w:iCs/>
          <w:kern w:val="0"/>
          <w:lang w:val="es-ES" w:bidi="ar-SA"/>
        </w:rPr>
        <w:t>Licitación Pública Internaci</w:t>
      </w:r>
      <w:r>
        <w:rPr>
          <w:rFonts w:ascii="Arial" w:hAnsi="Arial" w:cs="Arial"/>
          <w:bCs/>
          <w:iCs/>
          <w:kern w:val="0"/>
          <w:lang w:val="es-ES" w:bidi="ar-SA"/>
        </w:rPr>
        <w:t>onal Nº145/2019:</w:t>
      </w:r>
    </w:p>
    <w:p w:rsidR="00CB2177" w:rsidRDefault="00CB2177" w:rsidP="00A84A3A">
      <w:pPr>
        <w:rPr>
          <w:rFonts w:ascii="Arial" w:hAnsi="Arial" w:cs="Arial"/>
          <w:b/>
          <w:bCs/>
        </w:rPr>
      </w:pPr>
    </w:p>
    <w:p w:rsidR="00A84A3A" w:rsidRDefault="00A84A3A" w:rsidP="00A84A3A">
      <w:pPr>
        <w:numPr>
          <w:ilvl w:val="0"/>
          <w:numId w:val="11"/>
        </w:numPr>
        <w:autoSpaceDE w:val="0"/>
        <w:adjustRightInd w:val="0"/>
        <w:spacing w:line="360" w:lineRule="auto"/>
        <w:rPr>
          <w:rFonts w:ascii="Arial" w:eastAsia="ArialMT-Identity-H" w:hAnsi="Arial" w:cs="Arial"/>
        </w:rPr>
      </w:pPr>
      <w:r>
        <w:rPr>
          <w:rFonts w:ascii="Arial" w:eastAsia="ArialMT-Identity-H" w:hAnsi="Arial" w:cs="Arial"/>
        </w:rPr>
        <w:t>Dado que el terreno pertenece al ministerio, consultamos si se cuenta con estudio de suelos; de lo contrario solicitamos autorización para realizar el mismo.</w:t>
      </w:r>
    </w:p>
    <w:p w:rsidR="00062108" w:rsidRPr="00860DCF" w:rsidRDefault="009B0725" w:rsidP="001A7F45">
      <w:pPr>
        <w:numPr>
          <w:ilvl w:val="0"/>
          <w:numId w:val="16"/>
        </w:numPr>
        <w:autoSpaceDE w:val="0"/>
        <w:adjustRightInd w:val="0"/>
        <w:spacing w:line="360" w:lineRule="auto"/>
        <w:rPr>
          <w:rFonts w:ascii="Arial" w:eastAsia="ArialMT-Identity-H" w:hAnsi="Arial" w:cs="Arial"/>
        </w:rPr>
      </w:pPr>
      <w:r w:rsidRPr="00860DCF">
        <w:rPr>
          <w:rFonts w:ascii="Arial" w:hAnsi="Arial" w:cs="Arial"/>
        </w:rPr>
        <w:t xml:space="preserve">Se publicó como aclaración sin consulta el estudio geotécnico correspondiente al padrón 423672. No se cuenta a la fecha con estudio de suelos para el padrón 429554, por lo cual las empresas que así lo requieran podrán realizar los estudios de suelos </w:t>
      </w:r>
      <w:r w:rsidR="005A6F27" w:rsidRPr="00860DCF">
        <w:rPr>
          <w:rFonts w:ascii="Arial" w:hAnsi="Arial" w:cs="Arial"/>
        </w:rPr>
        <w:t>que considere necesarios como complemento a dicha información.</w:t>
      </w:r>
    </w:p>
    <w:p w:rsidR="00387E31" w:rsidRDefault="00387E31" w:rsidP="00A91A09">
      <w:pPr>
        <w:autoSpaceDE w:val="0"/>
        <w:adjustRightInd w:val="0"/>
        <w:spacing w:line="360" w:lineRule="auto"/>
        <w:rPr>
          <w:rFonts w:ascii="Arial" w:eastAsia="ArialMT-Identity-H" w:hAnsi="Arial" w:cs="Arial"/>
        </w:rPr>
      </w:pPr>
    </w:p>
    <w:p w:rsidR="00A84A3A" w:rsidRDefault="00A84A3A" w:rsidP="00A84A3A">
      <w:pPr>
        <w:numPr>
          <w:ilvl w:val="0"/>
          <w:numId w:val="11"/>
        </w:numPr>
        <w:autoSpaceDE w:val="0"/>
        <w:adjustRightInd w:val="0"/>
        <w:spacing w:line="360" w:lineRule="auto"/>
        <w:rPr>
          <w:rFonts w:ascii="Arial" w:eastAsia="ArialMT-Identity-H" w:hAnsi="Arial" w:cs="Arial"/>
        </w:rPr>
      </w:pPr>
      <w:r>
        <w:rPr>
          <w:rFonts w:ascii="Arial" w:eastAsia="ArialMT-Identity-H" w:hAnsi="Arial" w:cs="Arial"/>
        </w:rPr>
        <w:t xml:space="preserve">Solicitamos autorización para realizar relevamiento </w:t>
      </w:r>
      <w:r w:rsidR="00DA1FDC">
        <w:rPr>
          <w:rFonts w:ascii="Arial" w:eastAsia="ArialMT-Identity-H" w:hAnsi="Arial" w:cs="Arial"/>
        </w:rPr>
        <w:t>plan altimétrico</w:t>
      </w:r>
      <w:r>
        <w:rPr>
          <w:rFonts w:ascii="Arial" w:eastAsia="ArialMT-Identity-H" w:hAnsi="Arial" w:cs="Arial"/>
        </w:rPr>
        <w:t>.</w:t>
      </w:r>
    </w:p>
    <w:p w:rsidR="001A7F45" w:rsidRDefault="001A7F45" w:rsidP="001A7F45">
      <w:pPr>
        <w:numPr>
          <w:ilvl w:val="0"/>
          <w:numId w:val="16"/>
        </w:numPr>
        <w:autoSpaceDE w:val="0"/>
        <w:adjustRightInd w:val="0"/>
        <w:spacing w:line="360" w:lineRule="auto"/>
        <w:rPr>
          <w:rFonts w:ascii="Arial" w:eastAsia="ArialMT-Identity-H" w:hAnsi="Arial" w:cs="Arial"/>
        </w:rPr>
      </w:pPr>
      <w:r>
        <w:rPr>
          <w:rFonts w:ascii="Arial" w:hAnsi="Arial" w:cs="Arial"/>
          <w:color w:val="000000"/>
        </w:rPr>
        <w:t>E</w:t>
      </w:r>
      <w:r w:rsidRPr="001A7F45">
        <w:rPr>
          <w:rFonts w:ascii="Arial" w:hAnsi="Arial" w:cs="Arial"/>
          <w:color w:val="000000"/>
        </w:rPr>
        <w:t>l</w:t>
      </w:r>
      <w:r w:rsidRPr="001A7F45">
        <w:rPr>
          <w:rFonts w:ascii="Arial" w:eastAsia="ArialMT-Identity-H" w:hAnsi="Arial" w:cs="Arial"/>
        </w:rPr>
        <w:t xml:space="preserve"> predio está abierto y se puede acceder libremente</w:t>
      </w:r>
      <w:r>
        <w:rPr>
          <w:rFonts w:ascii="Arial" w:eastAsia="ArialMT-Identity-H" w:hAnsi="Arial" w:cs="Arial"/>
        </w:rPr>
        <w:t>.</w:t>
      </w:r>
    </w:p>
    <w:p w:rsidR="00A84A3A" w:rsidRDefault="00A84A3A" w:rsidP="00A84A3A">
      <w:pPr>
        <w:pStyle w:val="Prrafodelista"/>
        <w:rPr>
          <w:rFonts w:ascii="Arial" w:eastAsia="ArialMT-Identity-H" w:hAnsi="Arial" w:cs="Arial"/>
        </w:rPr>
      </w:pPr>
    </w:p>
    <w:p w:rsidR="00387E31" w:rsidRPr="00860DCF" w:rsidRDefault="00A84A3A" w:rsidP="00387E31">
      <w:pPr>
        <w:numPr>
          <w:ilvl w:val="0"/>
          <w:numId w:val="11"/>
        </w:numPr>
        <w:autoSpaceDE w:val="0"/>
        <w:adjustRightInd w:val="0"/>
        <w:spacing w:line="360" w:lineRule="auto"/>
        <w:rPr>
          <w:rFonts w:ascii="Arial" w:eastAsia="ArialMT-Identity-H" w:hAnsi="Arial" w:cs="Arial"/>
        </w:rPr>
      </w:pPr>
      <w:r w:rsidRPr="00A84A3A">
        <w:rPr>
          <w:rFonts w:ascii="Arial" w:eastAsia="ArialMT-Identity-H" w:hAnsi="Arial" w:cs="Arial"/>
        </w:rPr>
        <w:t>Respecto a la distribución porcentual de viviendas</w:t>
      </w:r>
      <w:r>
        <w:rPr>
          <w:rFonts w:ascii="Arial" w:eastAsia="ArialMT-Identity-H" w:hAnsi="Arial" w:cs="Arial"/>
        </w:rPr>
        <w:t xml:space="preserve"> indicado en el </w:t>
      </w:r>
      <w:r w:rsidRPr="00A84A3A">
        <w:rPr>
          <w:rFonts w:ascii="Arial" w:eastAsia="ArialMT-Identity-H" w:hAnsi="Arial" w:cs="Arial"/>
        </w:rPr>
        <w:t>“DOCUMENTO CONDICIONES DEL PRODUCTO 02.10”</w:t>
      </w:r>
      <w:r>
        <w:rPr>
          <w:rFonts w:ascii="Arial" w:eastAsia="ArialMT-Identity-H" w:hAnsi="Arial" w:cs="Arial"/>
        </w:rPr>
        <w:t xml:space="preserve">, formulamos la siguiente </w:t>
      </w:r>
      <w:r w:rsidRPr="00A84A3A">
        <w:rPr>
          <w:rFonts w:ascii="Arial" w:eastAsia="ArialMT-Identity-H" w:hAnsi="Arial" w:cs="Arial"/>
        </w:rPr>
        <w:t xml:space="preserve">consulta: </w:t>
      </w:r>
    </w:p>
    <w:p w:rsidR="00A84A3A" w:rsidRDefault="00A84A3A" w:rsidP="00A84A3A">
      <w:pPr>
        <w:pStyle w:val="Prrafodelista"/>
        <w:rPr>
          <w:rFonts w:ascii="Arial" w:eastAsia="ArialMT-Identity-H" w:hAnsi="Arial" w:cs="Arial"/>
        </w:rPr>
      </w:pPr>
    </w:p>
    <w:p w:rsidR="00A84A3A" w:rsidRDefault="00A84A3A" w:rsidP="00A84A3A">
      <w:pPr>
        <w:numPr>
          <w:ilvl w:val="1"/>
          <w:numId w:val="11"/>
        </w:numPr>
        <w:autoSpaceDE w:val="0"/>
        <w:adjustRightInd w:val="0"/>
        <w:spacing w:line="360" w:lineRule="auto"/>
        <w:rPr>
          <w:rFonts w:ascii="Arial" w:eastAsia="ArialMT-Identity-H" w:hAnsi="Arial" w:cs="Arial"/>
        </w:rPr>
      </w:pPr>
      <w:r w:rsidRPr="00A84A3A">
        <w:rPr>
          <w:rFonts w:ascii="Arial" w:eastAsia="ArialMT-Identity-H" w:hAnsi="Arial" w:cs="Arial"/>
        </w:rPr>
        <w:t xml:space="preserve">¿Cómo se consideran las cifras decimales para contar las unidades de vivienda que cumplan con los porcentajes establecidos en el </w:t>
      </w:r>
      <w:proofErr w:type="gramStart"/>
      <w:r w:rsidRPr="00A84A3A">
        <w:rPr>
          <w:rFonts w:ascii="Arial" w:eastAsia="ArialMT-Identity-H" w:hAnsi="Arial" w:cs="Arial"/>
        </w:rPr>
        <w:t>pliego?</w:t>
      </w:r>
      <w:r>
        <w:rPr>
          <w:rFonts w:ascii="Arial" w:eastAsia="ArialMT-Identity-H" w:hAnsi="Arial" w:cs="Arial"/>
        </w:rPr>
        <w:t>.</w:t>
      </w:r>
      <w:proofErr w:type="gramEnd"/>
    </w:p>
    <w:p w:rsidR="00A84A3A" w:rsidRDefault="00A84A3A" w:rsidP="00A84A3A">
      <w:pPr>
        <w:autoSpaceDE w:val="0"/>
        <w:adjustRightInd w:val="0"/>
        <w:spacing w:line="360" w:lineRule="auto"/>
        <w:ind w:left="792"/>
        <w:rPr>
          <w:rFonts w:ascii="Arial" w:eastAsia="ArialMT-Identity-H" w:hAnsi="Arial" w:cs="Arial"/>
        </w:rPr>
      </w:pPr>
    </w:p>
    <w:p w:rsidR="00387E31" w:rsidRDefault="00387E31" w:rsidP="00A84A3A">
      <w:pPr>
        <w:autoSpaceDE w:val="0"/>
        <w:adjustRightInd w:val="0"/>
        <w:spacing w:line="360" w:lineRule="auto"/>
        <w:ind w:left="792"/>
        <w:rPr>
          <w:rFonts w:ascii="Arial" w:eastAsia="ArialMT-Identity-H" w:hAnsi="Arial" w:cs="Arial"/>
        </w:rPr>
      </w:pPr>
    </w:p>
    <w:p w:rsidR="00387E31" w:rsidRDefault="00387E31" w:rsidP="00A84A3A">
      <w:pPr>
        <w:autoSpaceDE w:val="0"/>
        <w:adjustRightInd w:val="0"/>
        <w:spacing w:line="360" w:lineRule="auto"/>
        <w:ind w:left="792"/>
        <w:rPr>
          <w:rFonts w:ascii="Arial" w:eastAsia="ArialMT-Identity-H" w:hAnsi="Arial" w:cs="Arial"/>
        </w:rPr>
      </w:pPr>
    </w:p>
    <w:p w:rsidR="00387E31" w:rsidRDefault="00387E31" w:rsidP="00A84A3A">
      <w:pPr>
        <w:autoSpaceDE w:val="0"/>
        <w:adjustRightInd w:val="0"/>
        <w:spacing w:line="360" w:lineRule="auto"/>
        <w:ind w:left="792"/>
        <w:rPr>
          <w:rFonts w:ascii="Arial" w:eastAsia="ArialMT-Identity-H" w:hAnsi="Arial" w:cs="Arial"/>
        </w:rPr>
      </w:pPr>
    </w:p>
    <w:p w:rsidR="00387E31" w:rsidRDefault="00387E31" w:rsidP="00A84A3A">
      <w:pPr>
        <w:autoSpaceDE w:val="0"/>
        <w:adjustRightInd w:val="0"/>
        <w:spacing w:line="360" w:lineRule="auto"/>
        <w:ind w:left="792"/>
        <w:rPr>
          <w:rFonts w:ascii="Arial" w:eastAsia="ArialMT-Identity-H" w:hAnsi="Arial" w:cs="Arial"/>
        </w:rPr>
      </w:pPr>
    </w:p>
    <w:tbl>
      <w:tblPr>
        <w:tblW w:w="979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1935"/>
        <w:gridCol w:w="2040"/>
        <w:gridCol w:w="2338"/>
      </w:tblGrid>
      <w:tr w:rsidR="00A84A3A" w:rsidRPr="00A84A3A" w:rsidTr="007574F0">
        <w:trPr>
          <w:trHeight w:val="512"/>
        </w:trPr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rPr>
                <w:rFonts w:ascii="Arial" w:eastAsia="ArialMT-Identity-H" w:hAnsi="Arial" w:cs="Arial"/>
                <w:lang w:val="es-ES"/>
              </w:rPr>
            </w:pPr>
            <w:r w:rsidRPr="00A84A3A">
              <w:rPr>
                <w:rFonts w:ascii="Arial" w:eastAsia="ArialMT-Identity-H" w:hAnsi="Arial" w:cs="Arial"/>
                <w:lang w:val="es-ES"/>
              </w:rPr>
              <w:t>TIPO por cantidad de dormitorios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jc w:val="center"/>
              <w:rPr>
                <w:rFonts w:ascii="Arial" w:eastAsia="ArialMT-Identity-H" w:hAnsi="Arial" w:cs="Arial"/>
                <w:b/>
                <w:bCs/>
                <w:lang w:val="es-ES"/>
              </w:rPr>
            </w:pPr>
            <w:r w:rsidRPr="00A84A3A">
              <w:rPr>
                <w:rFonts w:ascii="Arial" w:eastAsia="ArialMT-Identity-H" w:hAnsi="Arial" w:cs="Arial"/>
                <w:b/>
                <w:bCs/>
                <w:lang w:val="es-ES"/>
              </w:rPr>
              <w:t>1 DORMITORIO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A3A" w:rsidRPr="00A84A3A" w:rsidRDefault="009E463E" w:rsidP="00A84A3A">
            <w:pPr>
              <w:autoSpaceDE w:val="0"/>
              <w:adjustRightInd w:val="0"/>
              <w:spacing w:line="360" w:lineRule="auto"/>
              <w:jc w:val="center"/>
              <w:rPr>
                <w:rFonts w:ascii="Arial" w:eastAsia="ArialMT-Identity-H" w:hAnsi="Arial" w:cs="Arial"/>
                <w:b/>
                <w:bCs/>
                <w:lang w:val="es-ES"/>
              </w:rPr>
            </w:pPr>
            <w:bookmarkStart w:id="0" w:name="_GoBack"/>
            <w:bookmarkEnd w:id="0"/>
            <w:r w:rsidRPr="00A84A3A">
              <w:rPr>
                <w:rFonts w:ascii="Arial" w:eastAsia="ArialMT-Identity-H" w:hAnsi="Arial" w:cs="Arial"/>
                <w:b/>
                <w:bCs/>
                <w:lang w:val="es-ES"/>
              </w:rPr>
              <w:t>2 DORMITORIO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jc w:val="center"/>
              <w:rPr>
                <w:rFonts w:ascii="Arial" w:eastAsia="ArialMT-Identity-H" w:hAnsi="Arial" w:cs="Arial"/>
                <w:b/>
                <w:bCs/>
                <w:lang w:val="es-ES"/>
              </w:rPr>
            </w:pPr>
            <w:r w:rsidRPr="00A84A3A">
              <w:rPr>
                <w:rFonts w:ascii="Arial" w:eastAsia="ArialMT-Identity-H" w:hAnsi="Arial" w:cs="Arial"/>
                <w:b/>
                <w:bCs/>
                <w:lang w:val="es-ES"/>
              </w:rPr>
              <w:t>3 DORMITORIO</w:t>
            </w:r>
          </w:p>
        </w:tc>
      </w:tr>
      <w:tr w:rsidR="00A84A3A" w:rsidRPr="00A84A3A" w:rsidTr="007574F0">
        <w:trPr>
          <w:trHeight w:val="604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rPr>
                <w:rFonts w:ascii="Arial" w:eastAsia="ArialMT-Identity-H" w:hAnsi="Arial" w:cs="Arial"/>
                <w:b/>
                <w:bCs/>
                <w:lang w:val="es-ES"/>
              </w:rPr>
            </w:pPr>
            <w:r w:rsidRPr="00A84A3A">
              <w:rPr>
                <w:rFonts w:ascii="Arial" w:eastAsia="ArialMT-Identity-H" w:hAnsi="Arial" w:cs="Arial"/>
                <w:b/>
                <w:bCs/>
                <w:lang w:val="es-ES"/>
              </w:rPr>
              <w:t>% PLIEGO por cantidad de dormitorios: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jc w:val="center"/>
              <w:rPr>
                <w:rFonts w:ascii="Arial" w:eastAsia="ArialMT-Identity-H" w:hAnsi="Arial" w:cs="Arial"/>
                <w:b/>
                <w:bCs/>
                <w:lang w:val="es-ES"/>
              </w:rPr>
            </w:pPr>
            <w:r w:rsidRPr="00A84A3A">
              <w:rPr>
                <w:rFonts w:ascii="Arial" w:eastAsia="ArialMT-Identity-H" w:hAnsi="Arial" w:cs="Arial"/>
                <w:b/>
                <w:bCs/>
                <w:lang w:val="es-ES"/>
              </w:rPr>
              <w:t>30%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jc w:val="center"/>
              <w:rPr>
                <w:rFonts w:ascii="Arial" w:eastAsia="ArialMT-Identity-H" w:hAnsi="Arial" w:cs="Arial"/>
                <w:b/>
                <w:bCs/>
                <w:lang w:val="es-ES"/>
              </w:rPr>
            </w:pPr>
            <w:r w:rsidRPr="00A84A3A">
              <w:rPr>
                <w:rFonts w:ascii="Arial" w:eastAsia="ArialMT-Identity-H" w:hAnsi="Arial" w:cs="Arial"/>
                <w:b/>
                <w:bCs/>
                <w:lang w:val="es-ES"/>
              </w:rPr>
              <w:t>50%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jc w:val="center"/>
              <w:rPr>
                <w:rFonts w:ascii="Arial" w:eastAsia="ArialMT-Identity-H" w:hAnsi="Arial" w:cs="Arial"/>
                <w:b/>
                <w:bCs/>
                <w:lang w:val="es-ES"/>
              </w:rPr>
            </w:pPr>
            <w:r w:rsidRPr="00A84A3A">
              <w:rPr>
                <w:rFonts w:ascii="Arial" w:eastAsia="ArialMT-Identity-H" w:hAnsi="Arial" w:cs="Arial"/>
                <w:b/>
                <w:bCs/>
                <w:lang w:val="es-ES"/>
              </w:rPr>
              <w:t>20%</w:t>
            </w:r>
          </w:p>
        </w:tc>
      </w:tr>
      <w:tr w:rsidR="00A84A3A" w:rsidRPr="00A84A3A" w:rsidTr="007574F0">
        <w:trPr>
          <w:trHeight w:val="488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rPr>
                <w:rFonts w:ascii="Arial" w:eastAsia="ArialMT-Identity-H" w:hAnsi="Arial" w:cs="Arial"/>
                <w:lang w:val="es-ES"/>
              </w:rPr>
            </w:pPr>
            <w:r w:rsidRPr="00A84A3A">
              <w:rPr>
                <w:rFonts w:ascii="Arial" w:eastAsia="ArialMT-Identity-H" w:hAnsi="Arial" w:cs="Arial"/>
                <w:lang w:val="es-ES"/>
              </w:rPr>
              <w:t>PARA 68 VIVIENDAS: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jc w:val="center"/>
              <w:rPr>
                <w:rFonts w:ascii="Arial" w:eastAsia="ArialMT-Identity-H" w:hAnsi="Arial" w:cs="Arial"/>
                <w:b/>
                <w:bCs/>
                <w:lang w:val="es-ES"/>
              </w:rPr>
            </w:pPr>
            <w:r w:rsidRPr="00A84A3A">
              <w:rPr>
                <w:rFonts w:ascii="Arial" w:eastAsia="ArialMT-Identity-H" w:hAnsi="Arial" w:cs="Arial"/>
                <w:b/>
                <w:bCs/>
                <w:lang w:val="es-ES"/>
              </w:rPr>
              <w:t>20,40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jc w:val="center"/>
              <w:rPr>
                <w:rFonts w:ascii="Arial" w:eastAsia="ArialMT-Identity-H" w:hAnsi="Arial" w:cs="Arial"/>
                <w:b/>
                <w:bCs/>
                <w:lang w:val="es-ES"/>
              </w:rPr>
            </w:pPr>
            <w:r w:rsidRPr="00A84A3A">
              <w:rPr>
                <w:rFonts w:ascii="Arial" w:eastAsia="ArialMT-Identity-H" w:hAnsi="Arial" w:cs="Arial"/>
                <w:b/>
                <w:bCs/>
                <w:lang w:val="es-ES"/>
              </w:rPr>
              <w:t>34,00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jc w:val="center"/>
              <w:rPr>
                <w:rFonts w:ascii="Arial" w:eastAsia="ArialMT-Identity-H" w:hAnsi="Arial" w:cs="Arial"/>
                <w:b/>
                <w:bCs/>
                <w:lang w:val="es-ES"/>
              </w:rPr>
            </w:pPr>
            <w:r w:rsidRPr="00A84A3A">
              <w:rPr>
                <w:rFonts w:ascii="Arial" w:eastAsia="ArialMT-Identity-H" w:hAnsi="Arial" w:cs="Arial"/>
                <w:b/>
                <w:bCs/>
                <w:lang w:val="es-ES"/>
              </w:rPr>
              <w:t>13,60</w:t>
            </w:r>
          </w:p>
        </w:tc>
      </w:tr>
      <w:tr w:rsidR="00A84A3A" w:rsidRPr="00A84A3A" w:rsidTr="007574F0">
        <w:trPr>
          <w:trHeight w:val="488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rPr>
                <w:rFonts w:ascii="Arial" w:eastAsia="ArialMT-Identity-H" w:hAnsi="Arial" w:cs="Arial"/>
                <w:lang w:val="es-ES"/>
              </w:rPr>
            </w:pPr>
            <w:r w:rsidRPr="00A84A3A">
              <w:rPr>
                <w:rFonts w:ascii="Arial" w:eastAsia="ArialMT-Identity-H" w:hAnsi="Arial" w:cs="Arial"/>
                <w:lang w:val="es-ES"/>
              </w:rPr>
              <w:t>PARA 70 VIVIENDAS: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jc w:val="center"/>
              <w:rPr>
                <w:rFonts w:ascii="Arial" w:eastAsia="ArialMT-Identity-H" w:hAnsi="Arial" w:cs="Arial"/>
                <w:b/>
                <w:bCs/>
                <w:lang w:val="es-ES"/>
              </w:rPr>
            </w:pPr>
            <w:r w:rsidRPr="00A84A3A">
              <w:rPr>
                <w:rFonts w:ascii="Arial" w:eastAsia="ArialMT-Identity-H" w:hAnsi="Arial" w:cs="Arial"/>
                <w:b/>
                <w:bCs/>
                <w:lang w:val="es-ES"/>
              </w:rPr>
              <w:t>21,00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jc w:val="center"/>
              <w:rPr>
                <w:rFonts w:ascii="Arial" w:eastAsia="ArialMT-Identity-H" w:hAnsi="Arial" w:cs="Arial"/>
                <w:b/>
                <w:bCs/>
                <w:lang w:val="es-ES"/>
              </w:rPr>
            </w:pPr>
            <w:r w:rsidRPr="00A84A3A">
              <w:rPr>
                <w:rFonts w:ascii="Arial" w:eastAsia="ArialMT-Identity-H" w:hAnsi="Arial" w:cs="Arial"/>
                <w:b/>
                <w:bCs/>
                <w:lang w:val="es-ES"/>
              </w:rPr>
              <w:t>35,00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jc w:val="center"/>
              <w:rPr>
                <w:rFonts w:ascii="Arial" w:eastAsia="ArialMT-Identity-H" w:hAnsi="Arial" w:cs="Arial"/>
                <w:b/>
                <w:bCs/>
                <w:lang w:val="es-ES"/>
              </w:rPr>
            </w:pPr>
            <w:r w:rsidRPr="00A84A3A">
              <w:rPr>
                <w:rFonts w:ascii="Arial" w:eastAsia="ArialMT-Identity-H" w:hAnsi="Arial" w:cs="Arial"/>
                <w:b/>
                <w:bCs/>
                <w:lang w:val="es-ES"/>
              </w:rPr>
              <w:t>14,00</w:t>
            </w:r>
          </w:p>
        </w:tc>
      </w:tr>
      <w:tr w:rsidR="00A84A3A" w:rsidRPr="00A84A3A" w:rsidTr="007574F0">
        <w:trPr>
          <w:trHeight w:val="488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rPr>
                <w:rFonts w:ascii="Arial" w:eastAsia="ArialMT-Identity-H" w:hAnsi="Arial" w:cs="Arial"/>
                <w:lang w:val="es-ES"/>
              </w:rPr>
            </w:pPr>
            <w:r w:rsidRPr="00A84A3A">
              <w:rPr>
                <w:rFonts w:ascii="Arial" w:eastAsia="ArialMT-Identity-H" w:hAnsi="Arial" w:cs="Arial"/>
                <w:lang w:val="es-ES"/>
              </w:rPr>
              <w:t>PARA 71 VIVIENDAS: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jc w:val="center"/>
              <w:rPr>
                <w:rFonts w:ascii="Arial" w:eastAsia="ArialMT-Identity-H" w:hAnsi="Arial" w:cs="Arial"/>
                <w:b/>
                <w:bCs/>
                <w:lang w:val="es-ES"/>
              </w:rPr>
            </w:pPr>
            <w:r w:rsidRPr="00A84A3A">
              <w:rPr>
                <w:rFonts w:ascii="Arial" w:eastAsia="ArialMT-Identity-H" w:hAnsi="Arial" w:cs="Arial"/>
                <w:b/>
                <w:bCs/>
                <w:lang w:val="es-ES"/>
              </w:rPr>
              <w:t>21,30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jc w:val="center"/>
              <w:rPr>
                <w:rFonts w:ascii="Arial" w:eastAsia="ArialMT-Identity-H" w:hAnsi="Arial" w:cs="Arial"/>
                <w:b/>
                <w:bCs/>
                <w:lang w:val="es-ES"/>
              </w:rPr>
            </w:pPr>
            <w:r w:rsidRPr="00A84A3A">
              <w:rPr>
                <w:rFonts w:ascii="Arial" w:eastAsia="ArialMT-Identity-H" w:hAnsi="Arial" w:cs="Arial"/>
                <w:b/>
                <w:bCs/>
                <w:lang w:val="es-ES"/>
              </w:rPr>
              <w:t>35,50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jc w:val="center"/>
              <w:rPr>
                <w:rFonts w:ascii="Arial" w:eastAsia="ArialMT-Identity-H" w:hAnsi="Arial" w:cs="Arial"/>
                <w:b/>
                <w:bCs/>
                <w:lang w:val="es-ES"/>
              </w:rPr>
            </w:pPr>
            <w:r w:rsidRPr="00A84A3A">
              <w:rPr>
                <w:rFonts w:ascii="Arial" w:eastAsia="ArialMT-Identity-H" w:hAnsi="Arial" w:cs="Arial"/>
                <w:b/>
                <w:bCs/>
                <w:lang w:val="es-ES"/>
              </w:rPr>
              <w:t>14,20</w:t>
            </w:r>
          </w:p>
        </w:tc>
      </w:tr>
      <w:tr w:rsidR="00A84A3A" w:rsidRPr="00A84A3A" w:rsidTr="007574F0">
        <w:trPr>
          <w:trHeight w:val="488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rPr>
                <w:rFonts w:ascii="Arial" w:eastAsia="ArialMT-Identity-H" w:hAnsi="Arial" w:cs="Arial"/>
                <w:lang w:val="es-ES"/>
              </w:rPr>
            </w:pPr>
            <w:r w:rsidRPr="00A84A3A">
              <w:rPr>
                <w:rFonts w:ascii="Arial" w:eastAsia="ArialMT-Identity-H" w:hAnsi="Arial" w:cs="Arial"/>
                <w:lang w:val="es-ES"/>
              </w:rPr>
              <w:t>PARA 75 VIVIENDAS: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jc w:val="center"/>
              <w:rPr>
                <w:rFonts w:ascii="Arial" w:eastAsia="ArialMT-Identity-H" w:hAnsi="Arial" w:cs="Arial"/>
                <w:b/>
                <w:bCs/>
                <w:lang w:val="es-ES"/>
              </w:rPr>
            </w:pPr>
            <w:r w:rsidRPr="00A84A3A">
              <w:rPr>
                <w:rFonts w:ascii="Arial" w:eastAsia="ArialMT-Identity-H" w:hAnsi="Arial" w:cs="Arial"/>
                <w:b/>
                <w:bCs/>
                <w:lang w:val="es-ES"/>
              </w:rPr>
              <w:t>22,50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jc w:val="center"/>
              <w:rPr>
                <w:rFonts w:ascii="Arial" w:eastAsia="ArialMT-Identity-H" w:hAnsi="Arial" w:cs="Arial"/>
                <w:b/>
                <w:bCs/>
                <w:lang w:val="es-ES"/>
              </w:rPr>
            </w:pPr>
            <w:r w:rsidRPr="00A84A3A">
              <w:rPr>
                <w:rFonts w:ascii="Arial" w:eastAsia="ArialMT-Identity-H" w:hAnsi="Arial" w:cs="Arial"/>
                <w:b/>
                <w:bCs/>
                <w:lang w:val="es-ES"/>
              </w:rPr>
              <w:t>37,50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4A3A" w:rsidRPr="00A84A3A" w:rsidRDefault="00A84A3A" w:rsidP="00A84A3A">
            <w:pPr>
              <w:autoSpaceDE w:val="0"/>
              <w:adjustRightInd w:val="0"/>
              <w:spacing w:line="360" w:lineRule="auto"/>
              <w:jc w:val="center"/>
              <w:rPr>
                <w:rFonts w:ascii="Arial" w:eastAsia="ArialMT-Identity-H" w:hAnsi="Arial" w:cs="Arial"/>
                <w:b/>
                <w:bCs/>
                <w:lang w:val="es-ES"/>
              </w:rPr>
            </w:pPr>
            <w:r w:rsidRPr="00A84A3A">
              <w:rPr>
                <w:rFonts w:ascii="Arial" w:eastAsia="ArialMT-Identity-H" w:hAnsi="Arial" w:cs="Arial"/>
                <w:b/>
                <w:bCs/>
                <w:lang w:val="es-ES"/>
              </w:rPr>
              <w:t>15,00</w:t>
            </w:r>
          </w:p>
        </w:tc>
      </w:tr>
    </w:tbl>
    <w:p w:rsidR="00FD00C2" w:rsidRPr="00A84A3A" w:rsidRDefault="00FD00C2" w:rsidP="00A84A3A">
      <w:pPr>
        <w:autoSpaceDE w:val="0"/>
        <w:adjustRightInd w:val="0"/>
        <w:spacing w:line="360" w:lineRule="auto"/>
        <w:rPr>
          <w:rFonts w:ascii="Arial" w:eastAsia="ArialMT-Identity-H" w:hAnsi="Arial" w:cs="Arial"/>
        </w:rPr>
      </w:pPr>
    </w:p>
    <w:p w:rsidR="00FD00C2" w:rsidRPr="00FD00C2" w:rsidRDefault="00FD00C2" w:rsidP="00FD00C2">
      <w:pPr>
        <w:numPr>
          <w:ilvl w:val="1"/>
          <w:numId w:val="11"/>
        </w:numPr>
        <w:autoSpaceDE w:val="0"/>
        <w:adjustRightInd w:val="0"/>
        <w:spacing w:line="360" w:lineRule="auto"/>
        <w:rPr>
          <w:rFonts w:ascii="Arial" w:eastAsia="ArialMT-Identity-H" w:hAnsi="Arial" w:cs="Arial"/>
        </w:rPr>
      </w:pPr>
      <w:r w:rsidRPr="00FD00C2">
        <w:rPr>
          <w:rFonts w:ascii="Arial" w:eastAsia="ArialMT-Identity-H" w:hAnsi="Arial" w:cs="Arial"/>
          <w:lang w:val="es-ES"/>
        </w:rPr>
        <w:t>¿Cómo se aplicarían las cifras significativas en el caso de 68 viviendas: 20 viviendas de 1 Dormitorio y 14 viviendas de 3 Dormitorios?</w:t>
      </w:r>
    </w:p>
    <w:p w:rsidR="00FD00C2" w:rsidRDefault="00FD00C2" w:rsidP="00FD00C2">
      <w:pPr>
        <w:autoSpaceDE w:val="0"/>
        <w:adjustRightInd w:val="0"/>
        <w:spacing w:line="360" w:lineRule="auto"/>
        <w:ind w:left="792"/>
        <w:rPr>
          <w:rFonts w:ascii="Arial" w:eastAsia="Times New Roman" w:hAnsi="Arial" w:cs="Arial"/>
          <w:lang w:val="es-ES" w:eastAsia="es-ES"/>
        </w:rPr>
      </w:pPr>
      <w:r w:rsidRPr="00D50CA0">
        <w:rPr>
          <w:rFonts w:ascii="Arial" w:eastAsia="Times New Roman" w:hAnsi="Arial" w:cs="Arial"/>
          <w:lang w:val="es-ES" w:eastAsia="es-ES"/>
        </w:rPr>
        <w:t>Si fuera así los porcentajes finales serían</w:t>
      </w:r>
      <w:r>
        <w:rPr>
          <w:rFonts w:ascii="Arial" w:eastAsia="Times New Roman" w:hAnsi="Arial" w:cs="Arial"/>
          <w:lang w:val="es-ES" w:eastAsia="es-ES"/>
        </w:rPr>
        <w:t>:</w:t>
      </w:r>
    </w:p>
    <w:p w:rsidR="00FD00C2" w:rsidRDefault="00FD00C2" w:rsidP="00FD00C2">
      <w:pPr>
        <w:autoSpaceDE w:val="0"/>
        <w:adjustRightInd w:val="0"/>
        <w:spacing w:line="360" w:lineRule="auto"/>
        <w:ind w:left="792"/>
        <w:rPr>
          <w:rFonts w:ascii="Arial" w:eastAsia="Times New Roman" w:hAnsi="Arial" w:cs="Arial"/>
          <w:lang w:val="es-ES" w:eastAsia="es-ES"/>
        </w:rPr>
      </w:pPr>
      <w:r w:rsidRPr="00D50CA0">
        <w:rPr>
          <w:rFonts w:ascii="Arial" w:eastAsia="Times New Roman" w:hAnsi="Arial" w:cs="Arial"/>
          <w:lang w:val="es-ES" w:eastAsia="es-ES"/>
        </w:rPr>
        <w:t xml:space="preserve">1 </w:t>
      </w:r>
      <w:proofErr w:type="gramStart"/>
      <w:r w:rsidRPr="00D50CA0">
        <w:rPr>
          <w:rFonts w:ascii="Arial" w:eastAsia="Times New Roman" w:hAnsi="Arial" w:cs="Arial"/>
          <w:lang w:val="es-ES" w:eastAsia="es-ES"/>
        </w:rPr>
        <w:t>Dormitorio</w:t>
      </w:r>
      <w:proofErr w:type="gramEnd"/>
      <w:r w:rsidRPr="00D50CA0">
        <w:rPr>
          <w:rFonts w:ascii="Arial" w:eastAsia="Times New Roman" w:hAnsi="Arial" w:cs="Arial"/>
          <w:lang w:val="es-ES" w:eastAsia="es-ES"/>
        </w:rPr>
        <w:t xml:space="preserve"> = 29.4 % (no llega al 30 %)</w:t>
      </w:r>
      <w:r>
        <w:rPr>
          <w:rFonts w:ascii="Arial" w:eastAsia="Times New Roman" w:hAnsi="Arial" w:cs="Arial"/>
          <w:lang w:val="es-ES" w:eastAsia="es-ES"/>
        </w:rPr>
        <w:t xml:space="preserve"> y no cumple con Pliego</w:t>
      </w:r>
    </w:p>
    <w:p w:rsidR="00FD00C2" w:rsidRDefault="00FD00C2" w:rsidP="00387E31">
      <w:pPr>
        <w:autoSpaceDE w:val="0"/>
        <w:adjustRightInd w:val="0"/>
        <w:spacing w:line="360" w:lineRule="auto"/>
        <w:ind w:left="792"/>
        <w:rPr>
          <w:rFonts w:ascii="Arial" w:eastAsia="Times New Roman" w:hAnsi="Arial" w:cs="Arial"/>
          <w:lang w:val="es-ES" w:eastAsia="es-ES"/>
        </w:rPr>
      </w:pPr>
      <w:r w:rsidRPr="00D50CA0">
        <w:rPr>
          <w:rFonts w:ascii="Arial" w:eastAsia="Times New Roman" w:hAnsi="Arial" w:cs="Arial"/>
          <w:lang w:val="es-ES" w:eastAsia="es-ES"/>
        </w:rPr>
        <w:t xml:space="preserve">3 </w:t>
      </w:r>
      <w:proofErr w:type="gramStart"/>
      <w:r w:rsidRPr="00D50CA0">
        <w:rPr>
          <w:rFonts w:ascii="Arial" w:eastAsia="Times New Roman" w:hAnsi="Arial" w:cs="Arial"/>
          <w:lang w:val="es-ES" w:eastAsia="es-ES"/>
        </w:rPr>
        <w:t>Dormitorios</w:t>
      </w:r>
      <w:proofErr w:type="gramEnd"/>
      <w:r w:rsidRPr="00D50CA0">
        <w:rPr>
          <w:rFonts w:ascii="Arial" w:eastAsia="Times New Roman" w:hAnsi="Arial" w:cs="Arial"/>
          <w:lang w:val="es-ES" w:eastAsia="es-ES"/>
        </w:rPr>
        <w:t xml:space="preserve"> = 20.59 % (se pasa del 20 %)</w:t>
      </w:r>
      <w:r>
        <w:rPr>
          <w:rFonts w:ascii="Arial" w:eastAsia="Times New Roman" w:hAnsi="Arial" w:cs="Arial"/>
          <w:lang w:val="es-ES" w:eastAsia="es-ES"/>
        </w:rPr>
        <w:t xml:space="preserve"> y no cumple con Pliego</w:t>
      </w:r>
    </w:p>
    <w:p w:rsidR="001A7F45" w:rsidRPr="00387E31" w:rsidRDefault="00FD00C2" w:rsidP="001A7F45">
      <w:pPr>
        <w:numPr>
          <w:ilvl w:val="1"/>
          <w:numId w:val="11"/>
        </w:numPr>
        <w:autoSpaceDE w:val="0"/>
        <w:adjustRightInd w:val="0"/>
        <w:spacing w:line="360" w:lineRule="auto"/>
        <w:rPr>
          <w:rFonts w:ascii="Arial" w:eastAsia="ArialMT-Identity-H" w:hAnsi="Arial" w:cs="Arial"/>
          <w:lang w:val="es-ES"/>
        </w:rPr>
      </w:pPr>
      <w:r w:rsidRPr="00FD00C2">
        <w:rPr>
          <w:rFonts w:ascii="Arial" w:eastAsia="ArialMT-Identity-H" w:hAnsi="Arial" w:cs="Arial"/>
          <w:lang w:val="es-ES"/>
        </w:rPr>
        <w:t>Solicitamos aclarar el criterio para el cálculo y aceptación de las propuestas de combinación de tipologías de 1, 2 y 3 dormitorios</w:t>
      </w:r>
      <w:r w:rsidR="007429D8">
        <w:rPr>
          <w:rFonts w:ascii="Arial" w:eastAsia="ArialMT-Identity-H" w:hAnsi="Arial" w:cs="Arial"/>
          <w:lang w:val="es-ES"/>
        </w:rPr>
        <w:t>.</w:t>
      </w:r>
    </w:p>
    <w:p w:rsidR="001A7F45" w:rsidRPr="00387E31" w:rsidRDefault="00FA02D3" w:rsidP="001A7F45">
      <w:pPr>
        <w:numPr>
          <w:ilvl w:val="0"/>
          <w:numId w:val="16"/>
        </w:numPr>
        <w:autoSpaceDE w:val="0"/>
        <w:adjustRightInd w:val="0"/>
        <w:spacing w:line="360" w:lineRule="auto"/>
        <w:rPr>
          <w:rFonts w:ascii="Arial" w:eastAsia="ArialMT-Identity-H" w:hAnsi="Arial" w:cs="Arial"/>
          <w:lang w:val="es-ES"/>
        </w:rPr>
      </w:pPr>
      <w:r w:rsidRPr="00387E31">
        <w:rPr>
          <w:rFonts w:ascii="Arial" w:eastAsia="ArialMT-Identity-H" w:hAnsi="Arial" w:cs="Arial"/>
          <w:lang w:val="es-ES"/>
        </w:rPr>
        <w:t xml:space="preserve">Se admitirá un margen de variabilidad en los porcentajes de cada tipo </w:t>
      </w:r>
      <w:r w:rsidR="00387E31">
        <w:rPr>
          <w:rFonts w:ascii="Arial" w:eastAsia="ArialMT-Identity-H" w:hAnsi="Arial" w:cs="Arial"/>
          <w:lang w:val="es-ES"/>
        </w:rPr>
        <w:t>de vivienda de un 5% del total.</w:t>
      </w:r>
      <w:r w:rsidR="009B0725">
        <w:rPr>
          <w:rFonts w:ascii="Arial" w:eastAsia="ArialMT-Identity-H" w:hAnsi="Arial" w:cs="Arial"/>
          <w:color w:val="FF0000"/>
          <w:lang w:val="es-ES"/>
        </w:rPr>
        <w:t xml:space="preserve"> </w:t>
      </w:r>
      <w:r w:rsidR="009B0725" w:rsidRPr="00860DCF">
        <w:rPr>
          <w:rFonts w:ascii="Arial" w:eastAsia="ArialMT-Identity-H" w:hAnsi="Arial" w:cs="Arial"/>
          <w:lang w:val="es-ES"/>
        </w:rPr>
        <w:t>Esto significa que para 1 Dormitorio</w:t>
      </w:r>
      <w:r w:rsidR="005A6F27" w:rsidRPr="00860DCF">
        <w:rPr>
          <w:rFonts w:ascii="Arial" w:eastAsia="ArialMT-Identity-H" w:hAnsi="Arial" w:cs="Arial"/>
          <w:lang w:val="es-ES"/>
        </w:rPr>
        <w:t xml:space="preserve">, por ejemplo, la cantidad exigida por pliego </w:t>
      </w:r>
      <w:r w:rsidR="009B0725" w:rsidRPr="00860DCF">
        <w:rPr>
          <w:rFonts w:ascii="Arial" w:eastAsia="ArialMT-Identity-H" w:hAnsi="Arial" w:cs="Arial"/>
          <w:lang w:val="es-ES"/>
        </w:rPr>
        <w:t xml:space="preserve">será un 30% del total de las viviendas, con un </w:t>
      </w:r>
      <w:proofErr w:type="gramStart"/>
      <w:r w:rsidR="009B0725" w:rsidRPr="00860DCF">
        <w:rPr>
          <w:rFonts w:ascii="Arial" w:eastAsia="ArialMT-Identity-H" w:hAnsi="Arial" w:cs="Arial"/>
          <w:lang w:val="es-ES"/>
        </w:rPr>
        <w:t>margen  de</w:t>
      </w:r>
      <w:proofErr w:type="gramEnd"/>
      <w:r w:rsidR="009B0725" w:rsidRPr="00860DCF">
        <w:rPr>
          <w:rFonts w:ascii="Arial" w:eastAsia="ArialMT-Identity-H" w:hAnsi="Arial" w:cs="Arial"/>
          <w:lang w:val="es-ES"/>
        </w:rPr>
        <w:t xml:space="preserve"> un 5%</w:t>
      </w:r>
      <w:r w:rsidR="005A6F27" w:rsidRPr="00860DCF">
        <w:rPr>
          <w:rFonts w:ascii="Arial" w:eastAsia="ArialMT-Identity-H" w:hAnsi="Arial" w:cs="Arial"/>
          <w:lang w:val="es-ES"/>
        </w:rPr>
        <w:t xml:space="preserve"> de variabilidad</w:t>
      </w:r>
      <w:r w:rsidR="009B0725" w:rsidRPr="00860DCF">
        <w:rPr>
          <w:rFonts w:ascii="Arial" w:eastAsia="ArialMT-Identity-H" w:hAnsi="Arial" w:cs="Arial"/>
          <w:lang w:val="es-ES"/>
        </w:rPr>
        <w:t xml:space="preserve"> </w:t>
      </w:r>
      <w:r w:rsidR="005A6F27" w:rsidRPr="00860DCF">
        <w:rPr>
          <w:rFonts w:ascii="Arial" w:eastAsia="ArialMT-Identity-H" w:hAnsi="Arial" w:cs="Arial"/>
          <w:lang w:val="es-ES"/>
        </w:rPr>
        <w:t>(del</w:t>
      </w:r>
      <w:r w:rsidR="009B0725" w:rsidRPr="00860DCF">
        <w:rPr>
          <w:rFonts w:ascii="Arial" w:eastAsia="ArialMT-Identity-H" w:hAnsi="Arial" w:cs="Arial"/>
          <w:lang w:val="es-ES"/>
        </w:rPr>
        <w:t xml:space="preserve"> 25 al 35%</w:t>
      </w:r>
      <w:r w:rsidR="005A6F27" w:rsidRPr="00860DCF">
        <w:rPr>
          <w:rFonts w:ascii="Arial" w:eastAsia="ArialMT-Identity-H" w:hAnsi="Arial" w:cs="Arial"/>
          <w:lang w:val="es-ES"/>
        </w:rPr>
        <w:t xml:space="preserve"> del total).</w:t>
      </w:r>
    </w:p>
    <w:p w:rsidR="007429D8" w:rsidRDefault="007429D8" w:rsidP="007429D8">
      <w:pPr>
        <w:autoSpaceDE w:val="0"/>
        <w:adjustRightInd w:val="0"/>
        <w:spacing w:line="360" w:lineRule="auto"/>
        <w:ind w:left="792"/>
        <w:rPr>
          <w:rFonts w:ascii="Arial" w:eastAsia="ArialMT-Identity-H" w:hAnsi="Arial" w:cs="Arial"/>
          <w:lang w:val="es-ES"/>
        </w:rPr>
      </w:pPr>
    </w:p>
    <w:p w:rsidR="007429D8" w:rsidRPr="00387E31" w:rsidRDefault="007429D8" w:rsidP="007429D8">
      <w:pPr>
        <w:numPr>
          <w:ilvl w:val="0"/>
          <w:numId w:val="11"/>
        </w:numPr>
        <w:autoSpaceDE w:val="0"/>
        <w:adjustRightInd w:val="0"/>
        <w:spacing w:line="360" w:lineRule="auto"/>
        <w:rPr>
          <w:rFonts w:ascii="Arial" w:eastAsia="ArialMT-Identity-H" w:hAnsi="Arial" w:cs="Arial"/>
          <w:lang w:val="es-ES"/>
        </w:rPr>
      </w:pPr>
      <w:r w:rsidRPr="007429D8">
        <w:rPr>
          <w:rFonts w:ascii="Arial" w:eastAsia="ArialMT-Identity-H" w:hAnsi="Arial" w:cs="Arial"/>
          <w:lang w:val="es-ES"/>
        </w:rPr>
        <w:t xml:space="preserve">Las cantidades de viviendas por dormitorio, ¿deben ser en los porcentajes solicitados? </w:t>
      </w:r>
      <w:r w:rsidRPr="007429D8">
        <w:rPr>
          <w:rFonts w:ascii="Arial" w:eastAsia="Times New Roman" w:hAnsi="Arial" w:cs="Arial"/>
          <w:kern w:val="0"/>
          <w:lang w:val="es-ES" w:eastAsia="es-ES" w:bidi="ar-SA"/>
        </w:rPr>
        <w:t>es decir, para 68 viviendas serian 20 de 1 dormitorio, 34 de 2 dormitorios, y 14 de 3 dormitorios. E</w:t>
      </w:r>
      <w:r w:rsidRPr="007429D8">
        <w:rPr>
          <w:rFonts w:ascii="Arial" w:eastAsia="Times New Roman" w:hAnsi="Arial" w:cs="Arial"/>
          <w:iCs/>
          <w:kern w:val="0"/>
          <w:lang w:val="es-ES" w:eastAsia="es-ES" w:bidi="ar-SA"/>
        </w:rPr>
        <w:t>n el caso de que fueran 72 viviendas, ¿podrían ser 24 de 1 dormitorio, 34 de 2 dormitorios y 14 de 3 dormitorios?</w:t>
      </w:r>
    </w:p>
    <w:p w:rsidR="00387E31" w:rsidRPr="007429D8" w:rsidRDefault="00387E31" w:rsidP="00387E31">
      <w:pPr>
        <w:numPr>
          <w:ilvl w:val="0"/>
          <w:numId w:val="16"/>
        </w:numPr>
        <w:autoSpaceDE w:val="0"/>
        <w:adjustRightInd w:val="0"/>
        <w:spacing w:line="360" w:lineRule="auto"/>
        <w:rPr>
          <w:rFonts w:ascii="Arial" w:eastAsia="ArialMT-Identity-H" w:hAnsi="Arial" w:cs="Arial"/>
          <w:lang w:val="es-ES"/>
        </w:rPr>
      </w:pPr>
      <w:r>
        <w:rPr>
          <w:rFonts w:ascii="Arial" w:eastAsia="ArialMT-Identity-H" w:hAnsi="Arial" w:cs="Arial"/>
          <w:lang w:val="es-ES"/>
        </w:rPr>
        <w:t>Ver respuesta 3.</w:t>
      </w:r>
    </w:p>
    <w:p w:rsidR="007429D8" w:rsidRDefault="007429D8" w:rsidP="007429D8">
      <w:pPr>
        <w:autoSpaceDE w:val="0"/>
        <w:adjustRightInd w:val="0"/>
        <w:spacing w:line="360" w:lineRule="auto"/>
        <w:rPr>
          <w:rFonts w:ascii="Arial" w:eastAsia="ArialMT-Identity-H" w:hAnsi="Arial" w:cs="Arial"/>
          <w:lang w:val="es-ES"/>
        </w:rPr>
      </w:pPr>
    </w:p>
    <w:p w:rsidR="00387E31" w:rsidRDefault="00387E31" w:rsidP="007429D8">
      <w:pPr>
        <w:autoSpaceDE w:val="0"/>
        <w:adjustRightInd w:val="0"/>
        <w:spacing w:line="360" w:lineRule="auto"/>
        <w:rPr>
          <w:rFonts w:ascii="Arial" w:eastAsia="ArialMT-Identity-H" w:hAnsi="Arial" w:cs="Arial"/>
          <w:lang w:val="es-ES"/>
        </w:rPr>
      </w:pPr>
    </w:p>
    <w:p w:rsidR="00387E31" w:rsidRDefault="00387E31" w:rsidP="007429D8">
      <w:pPr>
        <w:autoSpaceDE w:val="0"/>
        <w:adjustRightInd w:val="0"/>
        <w:spacing w:line="360" w:lineRule="auto"/>
        <w:rPr>
          <w:rFonts w:ascii="Arial" w:eastAsia="ArialMT-Identity-H" w:hAnsi="Arial" w:cs="Arial"/>
          <w:lang w:val="es-ES"/>
        </w:rPr>
      </w:pPr>
    </w:p>
    <w:p w:rsidR="00387E31" w:rsidRDefault="00387E31" w:rsidP="007429D8">
      <w:pPr>
        <w:autoSpaceDE w:val="0"/>
        <w:adjustRightInd w:val="0"/>
        <w:spacing w:line="360" w:lineRule="auto"/>
        <w:rPr>
          <w:rFonts w:ascii="Arial" w:eastAsia="ArialMT-Identity-H" w:hAnsi="Arial" w:cs="Arial"/>
          <w:lang w:val="es-ES"/>
        </w:rPr>
      </w:pPr>
    </w:p>
    <w:p w:rsidR="00387E31" w:rsidRDefault="00387E31" w:rsidP="007429D8">
      <w:pPr>
        <w:autoSpaceDE w:val="0"/>
        <w:adjustRightInd w:val="0"/>
        <w:spacing w:line="360" w:lineRule="auto"/>
        <w:rPr>
          <w:rFonts w:ascii="Arial" w:eastAsia="ArialMT-Identity-H" w:hAnsi="Arial" w:cs="Arial"/>
          <w:lang w:val="es-ES"/>
        </w:rPr>
      </w:pPr>
    </w:p>
    <w:p w:rsidR="00364E52" w:rsidRPr="007429D8" w:rsidRDefault="00364E52" w:rsidP="007429D8">
      <w:pPr>
        <w:autoSpaceDE w:val="0"/>
        <w:adjustRightInd w:val="0"/>
        <w:spacing w:line="360" w:lineRule="auto"/>
        <w:rPr>
          <w:rFonts w:ascii="Arial" w:eastAsia="ArialMT-Identity-H" w:hAnsi="Arial" w:cs="Arial"/>
          <w:lang w:val="es-ES"/>
        </w:rPr>
      </w:pPr>
    </w:p>
    <w:p w:rsidR="007429D8" w:rsidRDefault="007429D8" w:rsidP="007429D8">
      <w:pPr>
        <w:numPr>
          <w:ilvl w:val="0"/>
          <w:numId w:val="11"/>
        </w:numPr>
        <w:autoSpaceDE w:val="0"/>
        <w:adjustRightInd w:val="0"/>
        <w:spacing w:line="360" w:lineRule="auto"/>
        <w:rPr>
          <w:rFonts w:ascii="Arial" w:eastAsia="ArialMT-Identity-H" w:hAnsi="Arial" w:cs="Arial"/>
          <w:lang w:val="es-ES"/>
        </w:rPr>
      </w:pPr>
      <w:r>
        <w:rPr>
          <w:rFonts w:ascii="Arial" w:eastAsia="ArialMT-Identity-H" w:hAnsi="Arial" w:cs="Arial"/>
          <w:lang w:val="es-ES"/>
        </w:rPr>
        <w:t>U</w:t>
      </w:r>
      <w:r w:rsidRPr="007429D8">
        <w:rPr>
          <w:rFonts w:ascii="Arial" w:eastAsia="ArialMT-Identity-H" w:hAnsi="Arial" w:cs="Arial"/>
          <w:lang w:val="es-ES"/>
        </w:rPr>
        <w:t>na parte de las cocheras de estacionamiento, tienen que ir en subsuelo, para lo cual necesitamos un detalle de cómo es la composición del subsuelo.</w:t>
      </w:r>
      <w:r>
        <w:rPr>
          <w:rFonts w:ascii="Arial" w:eastAsia="ArialMT-Identity-H" w:hAnsi="Arial" w:cs="Arial"/>
          <w:lang w:val="es-ES"/>
        </w:rPr>
        <w:t xml:space="preserve"> </w:t>
      </w:r>
      <w:r w:rsidRPr="007429D8">
        <w:rPr>
          <w:rFonts w:ascii="Arial" w:eastAsia="ArialMT-Identity-H" w:hAnsi="Arial" w:cs="Arial"/>
          <w:lang w:val="es-ES"/>
        </w:rPr>
        <w:t>Esta información también la necesitamos para el cálculo del Ingeniero, por lo referente a la Estructura</w:t>
      </w:r>
      <w:r>
        <w:rPr>
          <w:rFonts w:ascii="Arial" w:eastAsia="ArialMT-Identity-H" w:hAnsi="Arial" w:cs="Arial"/>
          <w:lang w:val="es-ES"/>
        </w:rPr>
        <w:t>.</w:t>
      </w:r>
    </w:p>
    <w:p w:rsidR="00387E31" w:rsidRDefault="00387E31" w:rsidP="00387E31">
      <w:pPr>
        <w:numPr>
          <w:ilvl w:val="0"/>
          <w:numId w:val="16"/>
        </w:numPr>
        <w:autoSpaceDE w:val="0"/>
        <w:adjustRightInd w:val="0"/>
        <w:spacing w:line="360" w:lineRule="auto"/>
        <w:rPr>
          <w:rFonts w:ascii="Arial" w:eastAsia="ArialMT-Identity-H" w:hAnsi="Arial" w:cs="Arial"/>
          <w:lang w:val="es-ES"/>
        </w:rPr>
      </w:pPr>
      <w:r>
        <w:rPr>
          <w:rFonts w:ascii="Arial" w:eastAsia="ArialMT-Identity-H" w:hAnsi="Arial" w:cs="Arial"/>
          <w:lang w:val="es-ES"/>
        </w:rPr>
        <w:t>Ver respuesta 1.</w:t>
      </w:r>
    </w:p>
    <w:p w:rsidR="007429D8" w:rsidRDefault="007429D8" w:rsidP="007429D8">
      <w:pPr>
        <w:pStyle w:val="Prrafodelista"/>
        <w:rPr>
          <w:rFonts w:ascii="Arial" w:eastAsia="ArialMT-Identity-H" w:hAnsi="Arial" w:cs="Arial"/>
          <w:lang w:val="es-ES"/>
        </w:rPr>
      </w:pPr>
    </w:p>
    <w:p w:rsidR="007429D8" w:rsidRPr="007429D8" w:rsidRDefault="007429D8" w:rsidP="007429D8">
      <w:pPr>
        <w:autoSpaceDE w:val="0"/>
        <w:adjustRightInd w:val="0"/>
        <w:spacing w:line="360" w:lineRule="auto"/>
        <w:rPr>
          <w:rFonts w:ascii="Arial" w:eastAsia="ArialMT-Identity-H" w:hAnsi="Arial" w:cs="Arial"/>
          <w:lang w:val="es-ES"/>
        </w:rPr>
      </w:pPr>
    </w:p>
    <w:p w:rsidR="00184D0F" w:rsidRPr="001C2E2E" w:rsidRDefault="00184D0F" w:rsidP="005B1B01">
      <w:pPr>
        <w:rPr>
          <w:rFonts w:ascii="Arial" w:hAnsi="Arial" w:cs="Arial"/>
          <w:sz w:val="22"/>
          <w:szCs w:val="22"/>
        </w:rPr>
      </w:pPr>
    </w:p>
    <w:p w:rsidR="00B12E95" w:rsidRPr="001C2E2E" w:rsidRDefault="00B12E95" w:rsidP="005B1B01">
      <w:pPr>
        <w:rPr>
          <w:rFonts w:ascii="Arial" w:hAnsi="Arial" w:cs="Arial"/>
          <w:sz w:val="22"/>
          <w:szCs w:val="22"/>
        </w:rPr>
      </w:pPr>
    </w:p>
    <w:p w:rsidR="00B61EEC" w:rsidRPr="00A6659E" w:rsidRDefault="00322BCF" w:rsidP="00A6659E">
      <w:pPr>
        <w:autoSpaceDE w:val="0"/>
        <w:adjustRightInd w:val="0"/>
        <w:spacing w:line="360" w:lineRule="auto"/>
        <w:jc w:val="right"/>
        <w:rPr>
          <w:rFonts w:ascii="Arial" w:eastAsia="ArialMT-Identity-H" w:hAnsi="Arial" w:cs="Arial"/>
        </w:rPr>
      </w:pPr>
      <w:proofErr w:type="gramStart"/>
      <w:r w:rsidRPr="00A6659E">
        <w:rPr>
          <w:rFonts w:ascii="Arial" w:eastAsia="ArialMT-Identity-H" w:hAnsi="Arial" w:cs="Arial"/>
        </w:rPr>
        <w:t xml:space="preserve">Montevideo, </w:t>
      </w:r>
      <w:r w:rsidR="00C6079C">
        <w:rPr>
          <w:rFonts w:ascii="Arial" w:eastAsia="ArialMT-Identity-H" w:hAnsi="Arial" w:cs="Arial"/>
        </w:rPr>
        <w:t xml:space="preserve"> 17</w:t>
      </w:r>
      <w:proofErr w:type="gramEnd"/>
      <w:r w:rsidR="00CD21AC">
        <w:rPr>
          <w:rFonts w:ascii="Arial" w:eastAsia="ArialMT-Identity-H" w:hAnsi="Arial" w:cs="Arial"/>
        </w:rPr>
        <w:t xml:space="preserve"> de diciembre</w:t>
      </w:r>
      <w:r w:rsidR="00417856">
        <w:rPr>
          <w:rFonts w:ascii="Arial" w:eastAsia="ArialMT-Identity-H" w:hAnsi="Arial" w:cs="Arial"/>
        </w:rPr>
        <w:t xml:space="preserve"> de 2019</w:t>
      </w:r>
    </w:p>
    <w:sectPr w:rsidR="00B61EEC" w:rsidRPr="00A6659E" w:rsidSect="00B61EEC">
      <w:headerReference w:type="default" r:id="rId12"/>
      <w:footerReference w:type="default" r:id="rId13"/>
      <w:pgSz w:w="11906" w:h="16838"/>
      <w:pgMar w:top="1693" w:right="1134" w:bottom="1996" w:left="1134" w:header="1134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17C" w:rsidRDefault="006B717C" w:rsidP="00B61EEC">
      <w:r>
        <w:separator/>
      </w:r>
    </w:p>
  </w:endnote>
  <w:endnote w:type="continuationSeparator" w:id="0">
    <w:p w:rsidR="006B717C" w:rsidRDefault="006B717C" w:rsidP="00B6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Identity-H">
    <w:altName w:val="Batang"/>
    <w:charset w:val="81"/>
    <w:family w:val="auto"/>
    <w:pitch w:val="default"/>
    <w:sig w:usb0="00000001" w:usb1="09060000" w:usb2="00000010" w:usb3="00000000" w:csb0="00080000" w:csb1="00000000"/>
  </w:font>
  <w:font w:name="TitilliumText14L 400 w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EC" w:rsidRDefault="00661195">
    <w:pPr>
      <w:pStyle w:val="Piedepgina"/>
      <w:tabs>
        <w:tab w:val="clear" w:pos="4819"/>
        <w:tab w:val="clear" w:pos="9638"/>
        <w:tab w:val="center" w:pos="11449"/>
        <w:tab w:val="left" w:pos="13260"/>
        <w:tab w:val="right" w:pos="16268"/>
      </w:tabs>
      <w:ind w:left="6630" w:firstLine="102"/>
      <w:rPr>
        <w:rFonts w:ascii="TitilliumText14L 400 wt" w:hAnsi="TitilliumText14L 400 wt" w:cs="TitilliumText14L 400 wt" w:hint="eastAsia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4250055</wp:posOffset>
          </wp:positionH>
          <wp:positionV relativeFrom="paragraph">
            <wp:posOffset>46990</wp:posOffset>
          </wp:positionV>
          <wp:extent cx="1910080" cy="715010"/>
          <wp:effectExtent l="0" t="0" r="0" b="0"/>
          <wp:wrapTopAndBottom/>
          <wp:docPr id="2" name="gráfico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EEC" w:rsidRDefault="00B61EEC">
    <w:pPr>
      <w:pStyle w:val="Piedepgina"/>
      <w:tabs>
        <w:tab w:val="clear" w:pos="4819"/>
        <w:tab w:val="clear" w:pos="9638"/>
        <w:tab w:val="center" w:pos="11449"/>
        <w:tab w:val="left" w:pos="13260"/>
        <w:tab w:val="right" w:pos="16268"/>
      </w:tabs>
      <w:ind w:left="6630" w:firstLine="102"/>
      <w:rPr>
        <w:rFonts w:ascii="TitilliumText14L 400 wt" w:hAnsi="TitilliumText14L 400 wt" w:cs="TitilliumText14L 400 wt" w:hint="eastAsia"/>
        <w:sz w:val="16"/>
      </w:rPr>
    </w:pPr>
  </w:p>
  <w:p w:rsidR="00B61EEC" w:rsidRDefault="00B61EEC">
    <w:pPr>
      <w:pStyle w:val="Piedepgina"/>
      <w:tabs>
        <w:tab w:val="clear" w:pos="4819"/>
        <w:tab w:val="clear" w:pos="9638"/>
        <w:tab w:val="center" w:pos="11449"/>
        <w:tab w:val="left" w:pos="13260"/>
        <w:tab w:val="right" w:pos="16268"/>
      </w:tabs>
      <w:ind w:left="6630" w:firstLine="102"/>
      <w:rPr>
        <w:rFonts w:ascii="TitilliumText14L 400 wt" w:hAnsi="TitilliumText14L 400 wt" w:cs="TitilliumText14L 400 wt" w:hint="eastAsia"/>
        <w:sz w:val="16"/>
      </w:rPr>
    </w:pPr>
  </w:p>
  <w:p w:rsidR="00B61EEC" w:rsidRDefault="00B61EEC">
    <w:pPr>
      <w:pStyle w:val="Piedepgina"/>
      <w:tabs>
        <w:tab w:val="clear" w:pos="4819"/>
        <w:tab w:val="clear" w:pos="9638"/>
        <w:tab w:val="center" w:pos="10956"/>
        <w:tab w:val="left" w:pos="12257"/>
        <w:tab w:val="right" w:pos="15775"/>
      </w:tabs>
      <w:ind w:left="6137" w:firstLine="17"/>
      <w:rPr>
        <w:rFonts w:ascii="TitilliumText14L 400 wt" w:hAnsi="TitilliumText14L 400 wt" w:cs="TitilliumText14L 400 wt" w:hint="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17C" w:rsidRDefault="006B717C" w:rsidP="00B61EEC">
      <w:r w:rsidRPr="00B61EEC">
        <w:rPr>
          <w:color w:val="000000"/>
        </w:rPr>
        <w:separator/>
      </w:r>
    </w:p>
  </w:footnote>
  <w:footnote w:type="continuationSeparator" w:id="0">
    <w:p w:rsidR="006B717C" w:rsidRDefault="006B717C" w:rsidP="00B6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EEC" w:rsidRDefault="00661195">
    <w:pPr>
      <w:pStyle w:val="Default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-24765</wp:posOffset>
          </wp:positionV>
          <wp:extent cx="1857375" cy="371475"/>
          <wp:effectExtent l="0" t="0" r="0" b="0"/>
          <wp:wrapTight wrapText="bothSides">
            <wp:wrapPolygon edited="0">
              <wp:start x="0" y="0"/>
              <wp:lineTo x="0" y="21046"/>
              <wp:lineTo x="21489" y="21046"/>
              <wp:lineTo x="21489" y="0"/>
              <wp:lineTo x="0" y="0"/>
            </wp:wrapPolygon>
          </wp:wrapTight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EEC">
      <w:rPr>
        <w:b/>
        <w:bCs/>
      </w:rPr>
      <w:t xml:space="preserve"> </w:t>
    </w:r>
  </w:p>
  <w:p w:rsidR="00B61EEC" w:rsidRDefault="00B61EEC">
    <w:pPr>
      <w:pStyle w:val="Default"/>
      <w:jc w:val="right"/>
    </w:pPr>
  </w:p>
  <w:p w:rsidR="00B61EEC" w:rsidRDefault="00B61EEC">
    <w:pPr>
      <w:pStyle w:val="Heading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5346964"/>
    <w:name w:val="WW8Num24"/>
    <w:lvl w:ilvl="0">
      <w:start w:val="1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D6B90"/>
    <w:multiLevelType w:val="multilevel"/>
    <w:tmpl w:val="9D2AC6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25862C5"/>
    <w:multiLevelType w:val="multilevel"/>
    <w:tmpl w:val="EF10D7E8"/>
    <w:styleLink w:val="WW8Num8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66A3DF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CCE590F"/>
    <w:multiLevelType w:val="multilevel"/>
    <w:tmpl w:val="D0CE0DDC"/>
    <w:styleLink w:val="WW8Num7"/>
    <w:lvl w:ilvl="0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0C46450"/>
    <w:multiLevelType w:val="hybridMultilevel"/>
    <w:tmpl w:val="27F08A6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746EE"/>
    <w:multiLevelType w:val="multilevel"/>
    <w:tmpl w:val="ADB2F17E"/>
    <w:styleLink w:val="WW8Num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4CAC334A"/>
    <w:multiLevelType w:val="multilevel"/>
    <w:tmpl w:val="40DC97C4"/>
    <w:lvl w:ilvl="0">
      <w:start w:val="1"/>
      <w:numFmt w:val="decimal"/>
      <w:lvlText w:val="Respuesta 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66628B"/>
    <w:multiLevelType w:val="multilevel"/>
    <w:tmpl w:val="725C9E30"/>
    <w:lvl w:ilvl="0">
      <w:start w:val="1"/>
      <w:numFmt w:val="decimal"/>
      <w:lvlText w:val="Consulta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D1413B"/>
    <w:multiLevelType w:val="multilevel"/>
    <w:tmpl w:val="37725948"/>
    <w:lvl w:ilvl="0">
      <w:start w:val="1"/>
      <w:numFmt w:val="decimal"/>
      <w:lvlText w:val="Respuesta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8FE42A1"/>
    <w:multiLevelType w:val="hybridMultilevel"/>
    <w:tmpl w:val="E5C8F070"/>
    <w:lvl w:ilvl="0" w:tplc="270686C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5751E"/>
    <w:multiLevelType w:val="hybridMultilevel"/>
    <w:tmpl w:val="2D8E1A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F7F46"/>
    <w:multiLevelType w:val="multilevel"/>
    <w:tmpl w:val="0FEE76BE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B557C08"/>
    <w:multiLevelType w:val="multilevel"/>
    <w:tmpl w:val="1A544E20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393270C"/>
    <w:multiLevelType w:val="multilevel"/>
    <w:tmpl w:val="9736997E"/>
    <w:lvl w:ilvl="0">
      <w:start w:val="1"/>
      <w:numFmt w:val="decimal"/>
      <w:lvlText w:val="Respuesta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7C228A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15"/>
  </w:num>
  <w:num w:numId="13">
    <w:abstractNumId w:val="3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EC"/>
    <w:rsid w:val="00022F82"/>
    <w:rsid w:val="00062108"/>
    <w:rsid w:val="00173C3A"/>
    <w:rsid w:val="00184D0F"/>
    <w:rsid w:val="001A7F45"/>
    <w:rsid w:val="001C2E2E"/>
    <w:rsid w:val="002137BD"/>
    <w:rsid w:val="002734F6"/>
    <w:rsid w:val="002E3D6B"/>
    <w:rsid w:val="00307888"/>
    <w:rsid w:val="00322BCF"/>
    <w:rsid w:val="003425F8"/>
    <w:rsid w:val="00364E52"/>
    <w:rsid w:val="00387E31"/>
    <w:rsid w:val="003D1D69"/>
    <w:rsid w:val="003F11B1"/>
    <w:rsid w:val="00417856"/>
    <w:rsid w:val="00446F36"/>
    <w:rsid w:val="004533B0"/>
    <w:rsid w:val="00470A93"/>
    <w:rsid w:val="00492E4F"/>
    <w:rsid w:val="00493BDF"/>
    <w:rsid w:val="004C538B"/>
    <w:rsid w:val="0055199A"/>
    <w:rsid w:val="00560F07"/>
    <w:rsid w:val="00590203"/>
    <w:rsid w:val="005A6F27"/>
    <w:rsid w:val="005B1B01"/>
    <w:rsid w:val="005C6B16"/>
    <w:rsid w:val="005F1CF5"/>
    <w:rsid w:val="006158D3"/>
    <w:rsid w:val="00622E0D"/>
    <w:rsid w:val="00661195"/>
    <w:rsid w:val="00661955"/>
    <w:rsid w:val="0068082C"/>
    <w:rsid w:val="006B717C"/>
    <w:rsid w:val="006E2DEB"/>
    <w:rsid w:val="00705F04"/>
    <w:rsid w:val="0073701B"/>
    <w:rsid w:val="007429D8"/>
    <w:rsid w:val="007574F0"/>
    <w:rsid w:val="007D7FB9"/>
    <w:rsid w:val="00860DCF"/>
    <w:rsid w:val="00920460"/>
    <w:rsid w:val="009327C3"/>
    <w:rsid w:val="009356C2"/>
    <w:rsid w:val="0098066D"/>
    <w:rsid w:val="009B0725"/>
    <w:rsid w:val="009B68FD"/>
    <w:rsid w:val="009C7F87"/>
    <w:rsid w:val="009E463E"/>
    <w:rsid w:val="00A07CF5"/>
    <w:rsid w:val="00A21AC1"/>
    <w:rsid w:val="00A45E88"/>
    <w:rsid w:val="00A61597"/>
    <w:rsid w:val="00A6659E"/>
    <w:rsid w:val="00A84A3A"/>
    <w:rsid w:val="00A91A09"/>
    <w:rsid w:val="00AD4A18"/>
    <w:rsid w:val="00B12E95"/>
    <w:rsid w:val="00B203CB"/>
    <w:rsid w:val="00B61EEC"/>
    <w:rsid w:val="00B701E7"/>
    <w:rsid w:val="00C275B1"/>
    <w:rsid w:val="00C6079C"/>
    <w:rsid w:val="00CB2177"/>
    <w:rsid w:val="00CD21AC"/>
    <w:rsid w:val="00DA1FDC"/>
    <w:rsid w:val="00DC6A9D"/>
    <w:rsid w:val="00E21063"/>
    <w:rsid w:val="00E84D20"/>
    <w:rsid w:val="00E850DF"/>
    <w:rsid w:val="00EC17AF"/>
    <w:rsid w:val="00F421D9"/>
    <w:rsid w:val="00FA02D3"/>
    <w:rsid w:val="00FD00C2"/>
    <w:rsid w:val="00FE1605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6816CB6-1371-4F4A-86A1-47999ED7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1EE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61EEC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61EEC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B61EEC"/>
    <w:pPr>
      <w:spacing w:after="120"/>
    </w:pPr>
  </w:style>
  <w:style w:type="paragraph" w:styleId="Lista">
    <w:name w:val="List"/>
    <w:basedOn w:val="Textbody"/>
    <w:rsid w:val="00B61EEC"/>
  </w:style>
  <w:style w:type="paragraph" w:styleId="Descripcin">
    <w:name w:val="caption"/>
    <w:basedOn w:val="Standard"/>
    <w:rsid w:val="00B61E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1EEC"/>
    <w:pPr>
      <w:suppressLineNumbers/>
    </w:pPr>
  </w:style>
  <w:style w:type="paragraph" w:styleId="Encabezado">
    <w:name w:val="header"/>
    <w:basedOn w:val="Standard"/>
    <w:next w:val="Textbody"/>
    <w:rsid w:val="00B61EE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iedepgina">
    <w:name w:val="footer"/>
    <w:basedOn w:val="Standard"/>
    <w:rsid w:val="00B61EEC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B61EEC"/>
    <w:rPr>
      <w:color w:val="000080"/>
      <w:u w:val="single"/>
    </w:rPr>
  </w:style>
  <w:style w:type="character" w:customStyle="1" w:styleId="VisitedInternetLink">
    <w:name w:val="Visited Internet Link"/>
    <w:rsid w:val="00B61EEC"/>
    <w:rPr>
      <w:color w:val="800080"/>
      <w:u w:val="single"/>
    </w:rPr>
  </w:style>
  <w:style w:type="paragraph" w:styleId="Textocomentario">
    <w:name w:val="annotation text"/>
    <w:basedOn w:val="Normal"/>
    <w:rsid w:val="00B61EEC"/>
    <w:rPr>
      <w:rFonts w:cs="Mangal"/>
      <w:sz w:val="20"/>
      <w:szCs w:val="18"/>
    </w:rPr>
  </w:style>
  <w:style w:type="character" w:customStyle="1" w:styleId="TextocomentarioCar">
    <w:name w:val="Texto comentario Car"/>
    <w:rsid w:val="00B61EEC"/>
    <w:rPr>
      <w:rFonts w:cs="Mangal"/>
      <w:sz w:val="20"/>
      <w:szCs w:val="18"/>
    </w:rPr>
  </w:style>
  <w:style w:type="character" w:styleId="Refdecomentario">
    <w:name w:val="annotation reference"/>
    <w:rsid w:val="00B61EEC"/>
    <w:rPr>
      <w:sz w:val="16"/>
      <w:szCs w:val="16"/>
    </w:rPr>
  </w:style>
  <w:style w:type="paragraph" w:styleId="Prrafodelista">
    <w:name w:val="List Paragraph"/>
    <w:basedOn w:val="Normal"/>
    <w:rsid w:val="00B61EEC"/>
    <w:pPr>
      <w:ind w:left="720"/>
    </w:pPr>
    <w:rPr>
      <w:rFonts w:cs="Mangal"/>
      <w:szCs w:val="21"/>
    </w:rPr>
  </w:style>
  <w:style w:type="paragraph" w:styleId="Textodeglobo">
    <w:name w:val="Balloon Text"/>
    <w:basedOn w:val="Normal"/>
    <w:rsid w:val="00B61EEC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rsid w:val="00B61EEC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B61EEC"/>
    <w:pPr>
      <w:autoSpaceDE w:val="0"/>
      <w:autoSpaceDN w:val="0"/>
    </w:pPr>
    <w:rPr>
      <w:rFonts w:ascii="Arial" w:hAnsi="Arial" w:cs="Arial"/>
      <w:color w:val="000000"/>
      <w:sz w:val="24"/>
      <w:szCs w:val="24"/>
      <w:lang w:val="es-ES" w:eastAsia="zh-CN"/>
    </w:rPr>
  </w:style>
  <w:style w:type="character" w:styleId="Hipervnculo">
    <w:name w:val="Hyperlink"/>
    <w:uiPriority w:val="99"/>
    <w:unhideWhenUsed/>
    <w:rsid w:val="0073701B"/>
    <w:rPr>
      <w:color w:val="0563C1"/>
      <w:u w:val="single"/>
    </w:rPr>
  </w:style>
  <w:style w:type="paragraph" w:customStyle="1" w:styleId="ndice">
    <w:name w:val="Índice"/>
    <w:basedOn w:val="Normal"/>
    <w:rsid w:val="00022F82"/>
    <w:pPr>
      <w:suppressLineNumbers/>
      <w:autoSpaceDN/>
      <w:spacing w:line="100" w:lineRule="atLeast"/>
    </w:pPr>
    <w:rPr>
      <w:rFonts w:eastAsia="Lucida Sans Unicode" w:cs="Tahoma"/>
      <w:kern w:val="1"/>
      <w:lang w:val="es-ES" w:bidi="ar-SA"/>
    </w:rPr>
  </w:style>
  <w:style w:type="paragraph" w:styleId="NormalWeb">
    <w:name w:val="Normal (Web)"/>
    <w:basedOn w:val="Normal"/>
    <w:uiPriority w:val="99"/>
    <w:unhideWhenUsed/>
    <w:rsid w:val="00A84A3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US" w:eastAsia="en-US" w:bidi="ar-SA"/>
    </w:rPr>
  </w:style>
  <w:style w:type="numbering" w:customStyle="1" w:styleId="WW8Num2">
    <w:name w:val="WW8Num2"/>
    <w:basedOn w:val="Sinlista"/>
    <w:rsid w:val="00B61EEC"/>
    <w:pPr>
      <w:numPr>
        <w:numId w:val="1"/>
      </w:numPr>
    </w:pPr>
  </w:style>
  <w:style w:type="numbering" w:customStyle="1" w:styleId="WW8Num3">
    <w:name w:val="WW8Num3"/>
    <w:basedOn w:val="Sinlista"/>
    <w:rsid w:val="00B61EEC"/>
    <w:pPr>
      <w:numPr>
        <w:numId w:val="2"/>
      </w:numPr>
    </w:pPr>
  </w:style>
  <w:style w:type="numbering" w:customStyle="1" w:styleId="WW8Num6">
    <w:name w:val="WW8Num6"/>
    <w:basedOn w:val="Sinlista"/>
    <w:rsid w:val="00B61EEC"/>
    <w:pPr>
      <w:numPr>
        <w:numId w:val="3"/>
      </w:numPr>
    </w:pPr>
  </w:style>
  <w:style w:type="numbering" w:customStyle="1" w:styleId="WW8Num7">
    <w:name w:val="WW8Num7"/>
    <w:basedOn w:val="Sinlista"/>
    <w:rsid w:val="00B61EEC"/>
    <w:pPr>
      <w:numPr>
        <w:numId w:val="4"/>
      </w:numPr>
    </w:pPr>
  </w:style>
  <w:style w:type="numbering" w:customStyle="1" w:styleId="WW8Num8">
    <w:name w:val="WW8Num8"/>
    <w:basedOn w:val="Sinlista"/>
    <w:rsid w:val="00B61EEC"/>
    <w:pPr>
      <w:numPr>
        <w:numId w:val="5"/>
      </w:numPr>
    </w:pPr>
  </w:style>
  <w:style w:type="numbering" w:customStyle="1" w:styleId="WW8Num9">
    <w:name w:val="WW8Num9"/>
    <w:basedOn w:val="Sinlista"/>
    <w:rsid w:val="00B61EE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2867268DEE341A4C25490CF11A6A8" ma:contentTypeVersion="0" ma:contentTypeDescription="Create a new document." ma:contentTypeScope="" ma:versionID="e3dc485a17634b0e09e3801435ce128a">
  <xsd:schema xmlns:xsd="http://www.w3.org/2001/XMLSchema" xmlns:xs="http://www.w3.org/2001/XMLSchema" xmlns:p="http://schemas.microsoft.com/office/2006/metadata/properties" xmlns:ns1="http://schemas.microsoft.com/sharepoint/v3" xmlns:ns2="ab329847-71e0-4991-ae1d-d09f2517fcad" targetNamespace="http://schemas.microsoft.com/office/2006/metadata/properties" ma:root="true" ma:fieldsID="546307e152b974e95ef9e9321c966868" ns1:_="" ns2:_="">
    <xsd:import namespace="http://schemas.microsoft.com/sharepoint/v3"/>
    <xsd:import namespace="ab329847-71e0-4991-ae1d-d09f2517fc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1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29847-71e0-4991-ae1d-d09f2517fc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53D261F-C6B7-469E-AA1B-52AB98506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329847-71e0-4991-ae1d-d09f2517f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A02A6-FC3C-4B21-8577-55CEE0934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B44D1-375F-44CE-8259-E61FAD239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27772E-388A-4EA1-ABBA-43340D56DD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F066D7C-D49C-4698-8CB1-E18AC46FCED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</dc:creator>
  <cp:keywords/>
  <cp:lastModifiedBy>Carmen Brun</cp:lastModifiedBy>
  <cp:revision>4</cp:revision>
  <cp:lastPrinted>2014-12-01T14:49:00Z</cp:lastPrinted>
  <dcterms:created xsi:type="dcterms:W3CDTF">2019-12-17T16:49:00Z</dcterms:created>
  <dcterms:modified xsi:type="dcterms:W3CDTF">2019-12-17T17:25:00Z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0x01010036E2867268DEE341A4C25490CF11A6A8</vt:lpwstr>
  </property>
  <property fmtid="{D5CDD505-2E9C-101B-9397-08002B2CF9AE}" pid="3" name="_dlc_DocId">
    <vt:lpwstr>COUNTRYRBLAC-679368067-863</vt:lpwstr>
  </property>
  <property fmtid="{D5CDD505-2E9C-101B-9397-08002B2CF9AE}" pid="4" name="_dlc_DocIdItemGuid">
    <vt:lpwstr>3574cf2c-5d9b-4992-88d1-1ac3f9a4c425</vt:lpwstr>
  </property>
  <property fmtid="{D5CDD505-2E9C-101B-9397-08002B2CF9AE}" pid="5" name="_dlc_DocIdUrl">
    <vt:lpwstr>https://intranet.undp.org/country/rblac/uy/intra/_layouts/15/DocIdRedir.aspx?ID=COUNTRYRBLAC-679368067-863, COUNTRYRBLAC-679368067-863</vt:lpwstr>
  </property>
</Properties>
</file>