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7F" w:rsidRPr="004C6B75" w:rsidRDefault="0006407F" w:rsidP="00EE4D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20"/>
        </w:tabs>
        <w:suppressAutoHyphens/>
        <w:spacing w:line="240" w:lineRule="exact"/>
        <w:ind w:right="1"/>
        <w:jc w:val="both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</w:p>
    <w:p w:rsidR="0006407F" w:rsidRPr="004C6B75" w:rsidRDefault="0006407F" w:rsidP="00EE4D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20"/>
        </w:tabs>
        <w:suppressAutoHyphens/>
        <w:spacing w:line="240" w:lineRule="exact"/>
        <w:ind w:right="1"/>
        <w:jc w:val="center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 xml:space="preserve">MEMORIA PARTICULAR – ACONDICIONAMIENTO </w:t>
      </w:r>
      <w:r w:rsidR="00DC78C2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>SANITARIO</w:t>
      </w:r>
    </w:p>
    <w:p w:rsidR="0006407F" w:rsidRPr="004C6B75" w:rsidRDefault="0006407F" w:rsidP="00EE4D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20"/>
        </w:tabs>
        <w:suppressAutoHyphens/>
        <w:spacing w:line="240" w:lineRule="exact"/>
        <w:ind w:right="1"/>
        <w:jc w:val="both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</w:p>
    <w:p w:rsidR="0006407F" w:rsidRPr="004C6B75" w:rsidRDefault="0006407F" w:rsidP="00EE4D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9356"/>
        </w:tabs>
        <w:suppressAutoHyphens/>
        <w:spacing w:line="240" w:lineRule="exact"/>
        <w:ind w:right="1" w:firstLine="1701"/>
        <w:jc w:val="both"/>
        <w:rPr>
          <w:rFonts w:ascii="Arial Narrow" w:hAnsi="Arial Narrow" w:cs="Arial"/>
          <w:b/>
          <w:bCs/>
          <w:spacing w:val="-2"/>
          <w:sz w:val="22"/>
          <w:szCs w:val="22"/>
          <w:u w:val="single"/>
          <w:lang w:val="es-UY"/>
        </w:rPr>
      </w:pP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>OBRA:</w:t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  <w:t>SALA SEMINARIOS Y SECRETARIA HISTOLOGÍA</w:t>
      </w:r>
    </w:p>
    <w:p w:rsidR="0006407F" w:rsidRPr="004C6B75" w:rsidRDefault="0006407F" w:rsidP="00EE4D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9356"/>
        </w:tabs>
        <w:suppressAutoHyphens/>
        <w:spacing w:line="240" w:lineRule="exact"/>
        <w:ind w:right="1" w:firstLine="1701"/>
        <w:jc w:val="both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>SERVICIO:</w:t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  <w:t>FACULTAD DE MEDICINA</w:t>
      </w:r>
    </w:p>
    <w:p w:rsidR="0006407F" w:rsidRPr="004C6B75" w:rsidRDefault="0006407F" w:rsidP="00EE4D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9356"/>
        </w:tabs>
        <w:suppressAutoHyphens/>
        <w:spacing w:line="240" w:lineRule="exact"/>
        <w:ind w:right="1" w:firstLine="1701"/>
        <w:jc w:val="both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 xml:space="preserve">DIRECCION: </w:t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  <w:t>Av. Gral. Flores 2125 - Montevideo</w:t>
      </w:r>
    </w:p>
    <w:p w:rsidR="0006407F" w:rsidRPr="004C6B75" w:rsidRDefault="0006407F" w:rsidP="00EE4D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9356"/>
        </w:tabs>
        <w:suppressAutoHyphens/>
        <w:spacing w:line="240" w:lineRule="exact"/>
        <w:ind w:right="1" w:firstLine="1701"/>
        <w:jc w:val="both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 xml:space="preserve">FECHA: </w:t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ab/>
      </w:r>
      <w:r w:rsidR="00DC78C2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>Mayo</w:t>
      </w:r>
      <w:r w:rsidRPr="004C6B75"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  <w:t xml:space="preserve"> 2018</w:t>
      </w:r>
    </w:p>
    <w:p w:rsidR="0006407F" w:rsidRPr="004C6B75" w:rsidRDefault="0006407F" w:rsidP="00EE4D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9356"/>
        </w:tabs>
        <w:suppressAutoHyphens/>
        <w:spacing w:line="240" w:lineRule="exact"/>
        <w:ind w:right="1" w:firstLine="1701"/>
        <w:jc w:val="both"/>
        <w:rPr>
          <w:rFonts w:ascii="Arial Narrow" w:hAnsi="Arial Narrow" w:cs="Arial"/>
          <w:b/>
          <w:bCs/>
          <w:spacing w:val="-2"/>
          <w:sz w:val="22"/>
          <w:szCs w:val="22"/>
          <w:lang w:val="es-UY"/>
        </w:rPr>
      </w:pPr>
    </w:p>
    <w:p w:rsidR="0006407F" w:rsidRPr="004C6B75" w:rsidRDefault="0006407F" w:rsidP="00EE4D19">
      <w:pPr>
        <w:pStyle w:val="Ttulo"/>
        <w:spacing w:after="240"/>
        <w:jc w:val="both"/>
        <w:rPr>
          <w:rFonts w:ascii="Arial Narrow" w:hAnsi="Arial Narrow"/>
          <w:b w:val="0"/>
          <w:sz w:val="22"/>
          <w:szCs w:val="22"/>
          <w:u w:val="none"/>
        </w:rPr>
      </w:pPr>
    </w:p>
    <w:p w:rsidR="004A7181" w:rsidRPr="004C6B75" w:rsidRDefault="0006407F" w:rsidP="00EE4D19">
      <w:pPr>
        <w:pStyle w:val="Ttulo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EE4D19">
        <w:rPr>
          <w:rFonts w:ascii="Arial Narrow" w:hAnsi="Arial Narrow"/>
          <w:sz w:val="22"/>
          <w:szCs w:val="22"/>
          <w:u w:val="none"/>
        </w:rPr>
        <w:t>1.</w:t>
      </w:r>
      <w:r w:rsidR="00C74715">
        <w:rPr>
          <w:rFonts w:ascii="Arial Narrow" w:hAnsi="Arial Narrow"/>
          <w:sz w:val="22"/>
          <w:szCs w:val="22"/>
          <w:u w:val="none"/>
        </w:rPr>
        <w:t xml:space="preserve"> ALCANCE</w:t>
      </w:r>
    </w:p>
    <w:p w:rsidR="00463425" w:rsidRPr="004C6B75" w:rsidRDefault="004A7181" w:rsidP="00EE4D19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4C6B75">
        <w:rPr>
          <w:rFonts w:ascii="Arial Narrow" w:hAnsi="Arial Narrow"/>
          <w:sz w:val="22"/>
          <w:szCs w:val="22"/>
        </w:rPr>
        <w:t>El objetivo del presente proyecto es realizar las</w:t>
      </w:r>
      <w:r w:rsidR="0006407F" w:rsidRPr="004C6B75">
        <w:rPr>
          <w:rFonts w:ascii="Arial Narrow" w:hAnsi="Arial Narrow"/>
          <w:sz w:val="22"/>
          <w:szCs w:val="22"/>
        </w:rPr>
        <w:t xml:space="preserve"> instalaciones </w:t>
      </w:r>
      <w:r w:rsidR="00DC78C2">
        <w:rPr>
          <w:rFonts w:ascii="Arial Narrow" w:hAnsi="Arial Narrow"/>
          <w:sz w:val="22"/>
          <w:szCs w:val="22"/>
        </w:rPr>
        <w:t>sanitarias</w:t>
      </w:r>
      <w:r w:rsidR="0006407F" w:rsidRPr="004C6B75">
        <w:rPr>
          <w:rFonts w:ascii="Arial Narrow" w:hAnsi="Arial Narrow"/>
          <w:sz w:val="22"/>
          <w:szCs w:val="22"/>
        </w:rPr>
        <w:t xml:space="preserve"> del local Sala de Seminarios</w:t>
      </w:r>
      <w:r w:rsidR="00DC78C2">
        <w:rPr>
          <w:rFonts w:ascii="Arial Narrow" w:hAnsi="Arial Narrow"/>
          <w:sz w:val="22"/>
          <w:szCs w:val="22"/>
        </w:rPr>
        <w:t xml:space="preserve">  Histología (Local 01</w:t>
      </w:r>
      <w:r w:rsidR="0006407F" w:rsidRPr="004C6B75">
        <w:rPr>
          <w:rFonts w:ascii="Arial Narrow" w:hAnsi="Arial Narrow"/>
          <w:sz w:val="22"/>
          <w:szCs w:val="22"/>
        </w:rPr>
        <w:t>)</w:t>
      </w:r>
      <w:r w:rsidR="00C94ACD" w:rsidRPr="004C6B75">
        <w:rPr>
          <w:rFonts w:ascii="Arial Narrow" w:hAnsi="Arial Narrow"/>
          <w:sz w:val="22"/>
          <w:szCs w:val="22"/>
        </w:rPr>
        <w:t xml:space="preserve"> </w:t>
      </w:r>
      <w:r w:rsidR="00463425" w:rsidRPr="004C6B75">
        <w:rPr>
          <w:rFonts w:ascii="Arial Narrow" w:hAnsi="Arial Narrow"/>
          <w:sz w:val="22"/>
          <w:szCs w:val="22"/>
        </w:rPr>
        <w:t xml:space="preserve">ubicados en </w:t>
      </w:r>
      <w:r w:rsidR="00DD458C">
        <w:rPr>
          <w:rFonts w:ascii="Arial Narrow" w:hAnsi="Arial Narrow"/>
          <w:sz w:val="22"/>
          <w:szCs w:val="22"/>
        </w:rPr>
        <w:t>la planta alta</w:t>
      </w:r>
      <w:r w:rsidR="00463425" w:rsidRPr="004C6B75">
        <w:rPr>
          <w:rFonts w:ascii="Arial Narrow" w:hAnsi="Arial Narrow"/>
          <w:sz w:val="22"/>
          <w:szCs w:val="22"/>
        </w:rPr>
        <w:t xml:space="preserve"> del</w:t>
      </w:r>
      <w:r w:rsidR="00C94ACD" w:rsidRPr="004C6B75">
        <w:rPr>
          <w:rFonts w:ascii="Arial Narrow" w:hAnsi="Arial Narrow"/>
          <w:sz w:val="22"/>
          <w:szCs w:val="22"/>
        </w:rPr>
        <w:t xml:space="preserve"> edificio central</w:t>
      </w:r>
      <w:r w:rsidR="00EA6579" w:rsidRPr="004C6B75">
        <w:rPr>
          <w:rFonts w:ascii="Arial Narrow" w:hAnsi="Arial Narrow"/>
          <w:sz w:val="22"/>
          <w:szCs w:val="22"/>
        </w:rPr>
        <w:t xml:space="preserve"> </w:t>
      </w:r>
      <w:r w:rsidRPr="004C6B75">
        <w:rPr>
          <w:rFonts w:ascii="Arial Narrow" w:hAnsi="Arial Narrow"/>
          <w:sz w:val="22"/>
          <w:szCs w:val="22"/>
        </w:rPr>
        <w:t>de la Facultad</w:t>
      </w:r>
      <w:r w:rsidR="00872840" w:rsidRPr="004C6B75">
        <w:rPr>
          <w:rFonts w:ascii="Arial Narrow" w:hAnsi="Arial Narrow"/>
          <w:sz w:val="22"/>
          <w:szCs w:val="22"/>
        </w:rPr>
        <w:t xml:space="preserve"> de Medicina</w:t>
      </w:r>
      <w:r w:rsidR="00463425" w:rsidRPr="004C6B75">
        <w:rPr>
          <w:rFonts w:ascii="Arial Narrow" w:hAnsi="Arial Narrow"/>
          <w:sz w:val="22"/>
          <w:szCs w:val="22"/>
        </w:rPr>
        <w:t>.</w:t>
      </w:r>
    </w:p>
    <w:p w:rsidR="00463425" w:rsidRPr="004C6B75" w:rsidRDefault="00DC78C2" w:rsidP="00EE4D19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DejaVuSansCondensed"/>
          <w:color w:val="000000"/>
          <w:sz w:val="22"/>
          <w:szCs w:val="22"/>
          <w:lang w:val="es-ES"/>
        </w:rPr>
        <w:t>Las instalaciones sanitarias</w:t>
      </w:r>
      <w:r w:rsidR="00463425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 xml:space="preserve"> a ejecutar se ajustarán a los recaudos gráficos, memoria</w:t>
      </w:r>
      <w:r w:rsidR="00463425" w:rsidRPr="004C6B75">
        <w:rPr>
          <w:rFonts w:ascii="Arial Narrow" w:hAnsi="Arial Narrow"/>
          <w:sz w:val="22"/>
          <w:szCs w:val="22"/>
        </w:rPr>
        <w:t xml:space="preserve"> </w:t>
      </w:r>
      <w:r w:rsidR="00463425" w:rsidRPr="004C6B75">
        <w:rPr>
          <w:rFonts w:ascii="Arial Narrow" w:hAnsi="Arial Narrow" w:cs="DejaVuSansCondensed"/>
          <w:color w:val="000000"/>
          <w:sz w:val="22"/>
          <w:szCs w:val="22"/>
          <w:lang w:val="es-ES"/>
        </w:rPr>
        <w:t>constructiva particular, pliego particular y a lo que aquí se establece.</w:t>
      </w:r>
    </w:p>
    <w:p w:rsidR="00010224" w:rsidRDefault="00DC78C2" w:rsidP="00EE4D1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</w:t>
      </w:r>
      <w:r w:rsidR="00765986">
        <w:rPr>
          <w:rFonts w:ascii="Arial Narrow" w:hAnsi="Arial Narrow"/>
          <w:sz w:val="22"/>
          <w:szCs w:val="22"/>
        </w:rPr>
        <w:t xml:space="preserve">trata de la reforma de la instalación </w:t>
      </w:r>
      <w:r w:rsidR="00F71044">
        <w:rPr>
          <w:rFonts w:ascii="Arial Narrow" w:hAnsi="Arial Narrow"/>
          <w:sz w:val="22"/>
          <w:szCs w:val="22"/>
        </w:rPr>
        <w:t xml:space="preserve">de abastecimiento y desagüe </w:t>
      </w:r>
      <w:r w:rsidR="00765986">
        <w:rPr>
          <w:rFonts w:ascii="Arial Narrow" w:hAnsi="Arial Narrow"/>
          <w:sz w:val="22"/>
          <w:szCs w:val="22"/>
        </w:rPr>
        <w:t xml:space="preserve">de una pileta de cocina en el local Sala de Seminarios. </w:t>
      </w:r>
      <w:r w:rsidR="00010224">
        <w:rPr>
          <w:rFonts w:ascii="Arial Narrow" w:hAnsi="Arial Narrow"/>
          <w:sz w:val="22"/>
          <w:szCs w:val="22"/>
        </w:rPr>
        <w:t>La ubicación de la pileta de cocina se mantiene igual a la existente pero se cambia el modelo de pileta y la orientación de la misma, por lo que el punto de abastecimiento y el de desagüe se ubican en la pared contigua a la existente, debiendo extender la instalación.</w:t>
      </w:r>
    </w:p>
    <w:p w:rsidR="00F71044" w:rsidRDefault="00F71044" w:rsidP="00EE4D19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modificara el punto de entrada</w:t>
      </w:r>
      <w:r w:rsidR="00010224">
        <w:rPr>
          <w:rFonts w:ascii="Arial Narrow" w:hAnsi="Arial Narrow"/>
          <w:sz w:val="22"/>
          <w:szCs w:val="22"/>
        </w:rPr>
        <w:t xml:space="preserve"> de la pileta</w:t>
      </w:r>
      <w:r>
        <w:rPr>
          <w:rFonts w:ascii="Arial Narrow" w:hAnsi="Arial Narrow"/>
          <w:sz w:val="22"/>
          <w:szCs w:val="22"/>
        </w:rPr>
        <w:t xml:space="preserve"> de agua potable, extendiéndose la canalización existente. </w:t>
      </w:r>
    </w:p>
    <w:p w:rsidR="00F71044" w:rsidRDefault="00F71044" w:rsidP="00EE4D19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extenderá la canalización de desagüe de aguas servidas que se conectara a la cañería existente de bajada.</w:t>
      </w:r>
    </w:p>
    <w:p w:rsidR="008C03AC" w:rsidRDefault="00F71044" w:rsidP="00EE4D19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seguirán las especificaciones y recaudos gráficos adjuntos.</w:t>
      </w:r>
    </w:p>
    <w:p w:rsidR="00BD0BE5" w:rsidRDefault="00BD0BE5" w:rsidP="00EE4D19">
      <w:pPr>
        <w:pStyle w:val="Default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val="es-ES_tradnl" w:eastAsia="es-ES"/>
        </w:rPr>
      </w:pPr>
    </w:p>
    <w:p w:rsidR="00947B56" w:rsidRPr="006A05D9" w:rsidRDefault="00947B56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A05D9">
        <w:rPr>
          <w:rFonts w:ascii="Arial Narrow" w:hAnsi="Arial Narrow"/>
          <w:b/>
          <w:bCs/>
          <w:sz w:val="22"/>
          <w:szCs w:val="22"/>
        </w:rPr>
        <w:t xml:space="preserve">OBRAS COMPRENDIDAS: </w:t>
      </w:r>
    </w:p>
    <w:p w:rsidR="00C74715" w:rsidRDefault="00C74715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A05D9">
        <w:rPr>
          <w:rFonts w:ascii="Arial Narrow" w:hAnsi="Arial Narrow" w:cs="Times New Roman"/>
          <w:sz w:val="22"/>
          <w:szCs w:val="22"/>
        </w:rPr>
        <w:t xml:space="preserve">– </w:t>
      </w:r>
      <w:r w:rsidRPr="006A05D9">
        <w:rPr>
          <w:rFonts w:ascii="Arial Narrow" w:hAnsi="Arial Narrow"/>
          <w:sz w:val="22"/>
          <w:szCs w:val="22"/>
        </w:rPr>
        <w:t>Abastecimiento y distribución de agua fría potable.</w:t>
      </w:r>
    </w:p>
    <w:p w:rsidR="00947B56" w:rsidRDefault="00947B56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6A05D9">
        <w:rPr>
          <w:rFonts w:ascii="Arial Narrow" w:hAnsi="Arial Narrow" w:cs="Times New Roman"/>
          <w:sz w:val="22"/>
          <w:szCs w:val="22"/>
        </w:rPr>
        <w:t xml:space="preserve">– </w:t>
      </w:r>
      <w:r w:rsidRPr="006A05D9">
        <w:rPr>
          <w:rFonts w:ascii="Arial Narrow" w:hAnsi="Arial Narrow"/>
          <w:sz w:val="22"/>
          <w:szCs w:val="22"/>
        </w:rPr>
        <w:t xml:space="preserve">Sistemas de desagüe de aguas servidas. </w:t>
      </w:r>
    </w:p>
    <w:p w:rsidR="00BD0BE5" w:rsidRDefault="00BD0BE5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C74715" w:rsidRPr="007650C6" w:rsidRDefault="00C74715" w:rsidP="00EE4D1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2. </w:t>
      </w:r>
      <w:r w:rsidRPr="007650C6">
        <w:rPr>
          <w:rFonts w:ascii="Arial Narrow" w:hAnsi="Arial Narrow"/>
          <w:b/>
          <w:bCs/>
          <w:sz w:val="22"/>
          <w:szCs w:val="22"/>
        </w:rPr>
        <w:t xml:space="preserve">NORMAS Y ORDENANZAS: </w:t>
      </w:r>
    </w:p>
    <w:p w:rsidR="00C74715" w:rsidRPr="007650C6" w:rsidRDefault="00C74715" w:rsidP="00EE4D19">
      <w:pPr>
        <w:pStyle w:val="Defaul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Respecto a la calidad de los materiales Normas UNIT e ISO correspondientes. </w:t>
      </w:r>
    </w:p>
    <w:p w:rsidR="00C74715" w:rsidRPr="007650C6" w:rsidRDefault="00C74715" w:rsidP="00EE4D19">
      <w:pPr>
        <w:pStyle w:val="Defaul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Respecto a procedimientos constructivos Normas UNIT, ISO y Ordenanza de la Intendencia Municipal de Montevideo. </w:t>
      </w:r>
    </w:p>
    <w:p w:rsidR="00C74715" w:rsidRPr="007650C6" w:rsidRDefault="00C74715" w:rsidP="00EE4D19">
      <w:pPr>
        <w:pStyle w:val="Defaul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Además de las protecciones dispuestas en la Ordenanza Municipal, las cañerías, accesorios y equipos se protegerán según las prescripciones del fabricante respectivo. </w:t>
      </w:r>
    </w:p>
    <w:p w:rsidR="00C74715" w:rsidRPr="007650C6" w:rsidRDefault="00C74715" w:rsidP="00EE4D19">
      <w:pPr>
        <w:pStyle w:val="Defaul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Memoria General de Obras Públicas MTOP. </w:t>
      </w:r>
    </w:p>
    <w:p w:rsidR="00C74715" w:rsidRDefault="00C74715" w:rsidP="00EE4D19">
      <w:pPr>
        <w:pStyle w:val="Default"/>
        <w:numPr>
          <w:ilvl w:val="0"/>
          <w:numId w:val="22"/>
        </w:numPr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Pliego General de Condiciones para obra pública MTOP. </w:t>
      </w:r>
    </w:p>
    <w:p w:rsidR="00C74715" w:rsidRDefault="00C74715" w:rsidP="00EE4D19">
      <w:pPr>
        <w:pStyle w:val="Default"/>
        <w:spacing w:after="240"/>
        <w:jc w:val="both"/>
      </w:pPr>
    </w:p>
    <w:p w:rsidR="001C645F" w:rsidRDefault="00C74715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3. </w:t>
      </w:r>
      <w:r w:rsidRPr="007650C6">
        <w:rPr>
          <w:rFonts w:ascii="Arial Narrow" w:hAnsi="Arial Narrow"/>
          <w:b/>
          <w:bCs/>
          <w:sz w:val="22"/>
          <w:szCs w:val="22"/>
        </w:rPr>
        <w:t>INSTALACION DE DESAGÜE:</w:t>
      </w:r>
      <w:r w:rsidRPr="007650C6">
        <w:rPr>
          <w:rFonts w:ascii="Arial Narrow" w:hAnsi="Arial Narrow"/>
          <w:sz w:val="22"/>
          <w:szCs w:val="22"/>
        </w:rPr>
        <w:t xml:space="preserve"> </w:t>
      </w:r>
    </w:p>
    <w:p w:rsidR="001C645F" w:rsidRPr="001C645F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3.1 </w:t>
      </w:r>
      <w:r w:rsidRPr="007650C6">
        <w:rPr>
          <w:rFonts w:ascii="Arial Narrow" w:hAnsi="Arial Narrow"/>
          <w:b/>
          <w:bCs/>
          <w:sz w:val="22"/>
          <w:szCs w:val="22"/>
        </w:rPr>
        <w:t xml:space="preserve">Descripción: </w:t>
      </w:r>
    </w:p>
    <w:p w:rsidR="001C645F" w:rsidRPr="001C645F" w:rsidRDefault="001C645F" w:rsidP="00EE4D1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Antes de iniciar las instalaciones, el Subcontratista de Acondicionamiento Sanitario deberá verificar la viabilidad de la propuesta, y en caso que así no fuere, ponerlo en conocimiento de la </w:t>
      </w:r>
      <w:r w:rsidR="007C609A">
        <w:rPr>
          <w:rFonts w:ascii="Arial Narrow" w:hAnsi="Arial Narrow"/>
          <w:sz w:val="22"/>
          <w:szCs w:val="22"/>
        </w:rPr>
        <w:t>Supervisión</w:t>
      </w:r>
      <w:r w:rsidRPr="007650C6">
        <w:rPr>
          <w:rFonts w:ascii="Arial Narrow" w:hAnsi="Arial Narrow"/>
          <w:sz w:val="22"/>
          <w:szCs w:val="22"/>
        </w:rPr>
        <w:t xml:space="preserve"> de Obra junto con una propuesta de ajuste, estando a lo que ella decida. 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3.2 </w:t>
      </w:r>
      <w:r w:rsidR="007C609A">
        <w:rPr>
          <w:rFonts w:ascii="Arial Narrow" w:hAnsi="Arial Narrow"/>
          <w:b/>
          <w:bCs/>
          <w:sz w:val="22"/>
          <w:szCs w:val="22"/>
        </w:rPr>
        <w:t>Desagüe secundario</w:t>
      </w:r>
      <w:r w:rsidRPr="007650C6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>De acuerdo con el sistema constructivo del edificio</w:t>
      </w:r>
      <w:r>
        <w:rPr>
          <w:rFonts w:ascii="Arial Narrow" w:hAnsi="Arial Narrow"/>
          <w:sz w:val="22"/>
          <w:szCs w:val="22"/>
        </w:rPr>
        <w:t>, el desagüe de la pileta de cocina se d</w:t>
      </w:r>
      <w:r w:rsidR="00DD7D98">
        <w:rPr>
          <w:rFonts w:ascii="Arial Narrow" w:hAnsi="Arial Narrow"/>
          <w:sz w:val="22"/>
          <w:szCs w:val="22"/>
        </w:rPr>
        <w:t>eberá canalizar hacia el desagüe existente.</w:t>
      </w:r>
      <w:r w:rsidRPr="007650C6">
        <w:rPr>
          <w:rFonts w:ascii="Arial Narrow" w:hAnsi="Arial Narrow"/>
          <w:sz w:val="22"/>
          <w:szCs w:val="22"/>
        </w:rPr>
        <w:t xml:space="preserve"> 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 desagüe de la pileta de cocina se ha</w:t>
      </w:r>
      <w:r w:rsidRPr="007650C6">
        <w:rPr>
          <w:rFonts w:ascii="Arial Narrow" w:hAnsi="Arial Narrow"/>
          <w:sz w:val="22"/>
          <w:szCs w:val="22"/>
        </w:rPr>
        <w:t xml:space="preserve"> proyectado conforme al criterio de simple sifón</w:t>
      </w:r>
      <w:r>
        <w:rPr>
          <w:rFonts w:ascii="Arial Narrow" w:hAnsi="Arial Narrow"/>
          <w:sz w:val="22"/>
          <w:szCs w:val="22"/>
        </w:rPr>
        <w:t xml:space="preserve">. En el sifón </w:t>
      </w:r>
      <w:r w:rsidRPr="007650C6">
        <w:rPr>
          <w:rFonts w:ascii="Arial Narrow" w:hAnsi="Arial Narrow"/>
          <w:sz w:val="22"/>
          <w:szCs w:val="22"/>
        </w:rPr>
        <w:t xml:space="preserve">deberá verificarse un cierre hidráulico no inferior a 5 cm. 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lastRenderedPageBreak/>
        <w:t xml:space="preserve">Las canalizaciones de PPD se ajustarán estrictamente en su trazado a lo indicado en planos, prohibiéndose el doblado o modificación de las cañerías o accesorios con calor. 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3.3 </w:t>
      </w:r>
      <w:r w:rsidRPr="007650C6">
        <w:rPr>
          <w:rFonts w:ascii="Arial Narrow" w:hAnsi="Arial Narrow"/>
          <w:b/>
          <w:bCs/>
          <w:sz w:val="22"/>
          <w:szCs w:val="22"/>
        </w:rPr>
        <w:t xml:space="preserve">Material: 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Las cañerías de desagüe indicadas de PPD en esta memoria y en los recaudos gráficos serán de PPD rígido de 3.2 mm. </w:t>
      </w:r>
      <w:proofErr w:type="gramStart"/>
      <w:r w:rsidRPr="007650C6">
        <w:rPr>
          <w:rFonts w:ascii="Arial Narrow" w:hAnsi="Arial Narrow"/>
          <w:sz w:val="22"/>
          <w:szCs w:val="22"/>
        </w:rPr>
        <w:t>de</w:t>
      </w:r>
      <w:proofErr w:type="gramEnd"/>
      <w:r w:rsidRPr="007650C6">
        <w:rPr>
          <w:rFonts w:ascii="Arial Narrow" w:hAnsi="Arial Narrow"/>
          <w:sz w:val="22"/>
          <w:szCs w:val="22"/>
        </w:rPr>
        <w:t xml:space="preserve"> espesor de pared, según Norma UNIT 206 y 647. 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Las uniones entre hierro fundido y PPD, se harán mediante juntas </w:t>
      </w:r>
      <w:proofErr w:type="spellStart"/>
      <w:r w:rsidRPr="007650C6">
        <w:rPr>
          <w:rFonts w:ascii="Arial Narrow" w:hAnsi="Arial Narrow"/>
          <w:sz w:val="22"/>
          <w:szCs w:val="22"/>
        </w:rPr>
        <w:t>elastoméricas</w:t>
      </w:r>
      <w:proofErr w:type="spellEnd"/>
      <w:r w:rsidRPr="007650C6">
        <w:rPr>
          <w:rFonts w:ascii="Arial Narrow" w:hAnsi="Arial Narrow"/>
          <w:sz w:val="22"/>
          <w:szCs w:val="22"/>
        </w:rPr>
        <w:t xml:space="preserve"> de neopreno y abrazaderas de acero inoxidable. </w:t>
      </w:r>
    </w:p>
    <w:p w:rsidR="001C645F" w:rsidRPr="007650C6" w:rsidRDefault="006D110C" w:rsidP="00EE4D1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3.</w:t>
      </w:r>
      <w:r w:rsidR="00DD7D98">
        <w:rPr>
          <w:rFonts w:ascii="Arial Narrow" w:hAnsi="Arial Narrow"/>
          <w:b/>
          <w:bCs/>
          <w:sz w:val="22"/>
          <w:szCs w:val="22"/>
        </w:rPr>
        <w:t>4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1C645F" w:rsidRPr="007650C6">
        <w:rPr>
          <w:rFonts w:ascii="Arial Narrow" w:hAnsi="Arial Narrow"/>
          <w:b/>
          <w:bCs/>
          <w:sz w:val="22"/>
          <w:szCs w:val="22"/>
        </w:rPr>
        <w:t xml:space="preserve">Prueba: 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Se deberán realizar pruebas hidráulicas a todas las cañerías existentes que se proyecta conservar, antes de realizar las obras que las involucran, estando a lo que resuelva la </w:t>
      </w:r>
      <w:r w:rsidR="006D110C">
        <w:rPr>
          <w:rFonts w:ascii="Arial Narrow" w:hAnsi="Arial Narrow"/>
          <w:sz w:val="22"/>
          <w:szCs w:val="22"/>
        </w:rPr>
        <w:t>Supervisión</w:t>
      </w:r>
      <w:r w:rsidRPr="007650C6">
        <w:rPr>
          <w:rFonts w:ascii="Arial Narrow" w:hAnsi="Arial Narrow"/>
          <w:sz w:val="22"/>
          <w:szCs w:val="22"/>
        </w:rPr>
        <w:t xml:space="preserve"> de Obra en cada caso. </w:t>
      </w:r>
    </w:p>
    <w:p w:rsidR="001C645F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>Posteriormente se realizarán las pruebas que establece la normativa municipal vigente, Sección XVIII del Digesto Municipal: “Inspección de las Obras Sanitarias”, Arts. 4400 a 4413.</w:t>
      </w:r>
    </w:p>
    <w:p w:rsidR="000031A6" w:rsidRDefault="000031A6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1C645F" w:rsidRPr="007650C6" w:rsidRDefault="006D110C" w:rsidP="00EE4D1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 </w:t>
      </w:r>
      <w:r w:rsidR="001C645F" w:rsidRPr="007650C6">
        <w:rPr>
          <w:rFonts w:ascii="Arial Narrow" w:hAnsi="Arial Narrow"/>
          <w:b/>
          <w:bCs/>
          <w:sz w:val="22"/>
          <w:szCs w:val="22"/>
        </w:rPr>
        <w:t>ABASTECIMIENTO DE AGUA:</w:t>
      </w:r>
    </w:p>
    <w:p w:rsidR="001C645F" w:rsidRPr="007650C6" w:rsidRDefault="006D110C" w:rsidP="00EE4D1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4.1 </w:t>
      </w:r>
      <w:r w:rsidR="001C645F" w:rsidRPr="007650C6">
        <w:rPr>
          <w:rFonts w:ascii="Arial Narrow" w:hAnsi="Arial Narrow"/>
          <w:b/>
          <w:bCs/>
          <w:sz w:val="22"/>
          <w:szCs w:val="22"/>
        </w:rPr>
        <w:t>Descripción: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>La instalación de abastecimiento fue diseñada para funcionar derivada de la instalación existente, según se indica en los recaudos gráficos.</w:t>
      </w:r>
    </w:p>
    <w:p w:rsidR="001C645F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>Las tuberías deberán entregarse libres de todo vestigio de áridos, de modo de permitir la eventual colocación de griferías con cierre hidráulico de cerámica.</w:t>
      </w:r>
    </w:p>
    <w:p w:rsidR="001C645F" w:rsidRPr="007650C6" w:rsidRDefault="007C609A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extenderá la canalización existente de abastecimiento de agua</w:t>
      </w:r>
      <w:r w:rsidR="006D110C">
        <w:rPr>
          <w:rFonts w:ascii="Arial Narrow" w:hAnsi="Arial Narrow"/>
          <w:sz w:val="22"/>
          <w:szCs w:val="22"/>
        </w:rPr>
        <w:t xml:space="preserve"> por los paramentos del nicho donde actualmente se encuentra la pileta</w:t>
      </w:r>
      <w:r>
        <w:rPr>
          <w:rFonts w:ascii="Arial Narrow" w:hAnsi="Arial Narrow"/>
          <w:sz w:val="22"/>
          <w:szCs w:val="22"/>
        </w:rPr>
        <w:t>,</w:t>
      </w:r>
      <w:r w:rsidR="006D110C">
        <w:rPr>
          <w:rFonts w:ascii="Arial Narrow" w:hAnsi="Arial Narrow"/>
          <w:sz w:val="22"/>
          <w:szCs w:val="22"/>
        </w:rPr>
        <w:t xml:space="preserve"> según se muestra en recaudos gráficos.</w:t>
      </w:r>
      <w:r w:rsidR="00DD7D98">
        <w:rPr>
          <w:rFonts w:ascii="Arial Narrow" w:hAnsi="Arial Narrow"/>
          <w:sz w:val="22"/>
          <w:szCs w:val="22"/>
        </w:rPr>
        <w:t xml:space="preserve"> Se interpondrá bajo la pileta una llave de paso.</w:t>
      </w:r>
    </w:p>
    <w:p w:rsidR="001C645F" w:rsidRPr="007650C6" w:rsidRDefault="006D110C" w:rsidP="00EE4D1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4.2 </w:t>
      </w:r>
      <w:r w:rsidR="001C645F" w:rsidRPr="007650C6">
        <w:rPr>
          <w:rFonts w:ascii="Arial Narrow" w:hAnsi="Arial Narrow"/>
          <w:b/>
          <w:bCs/>
          <w:sz w:val="22"/>
          <w:szCs w:val="22"/>
        </w:rPr>
        <w:t>Materiales: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Todas las tuberías para conducir agua fría indicadas de polipropileno (PP) en esta memoria y en los recaudos gráficos, serán de polipropileno de termo –fusión, </w:t>
      </w:r>
      <w:proofErr w:type="spellStart"/>
      <w:r w:rsidRPr="007650C6">
        <w:rPr>
          <w:rFonts w:ascii="Arial Narrow" w:hAnsi="Arial Narrow"/>
          <w:sz w:val="22"/>
          <w:szCs w:val="22"/>
        </w:rPr>
        <w:t>homopolímero</w:t>
      </w:r>
      <w:proofErr w:type="spellEnd"/>
      <w:r w:rsidRPr="007650C6">
        <w:rPr>
          <w:rFonts w:ascii="Arial Narrow" w:hAnsi="Arial Narrow"/>
          <w:sz w:val="22"/>
          <w:szCs w:val="22"/>
        </w:rPr>
        <w:t xml:space="preserve"> o </w:t>
      </w:r>
      <w:proofErr w:type="spellStart"/>
      <w:r w:rsidRPr="007650C6">
        <w:rPr>
          <w:rFonts w:ascii="Arial Narrow" w:hAnsi="Arial Narrow"/>
          <w:sz w:val="22"/>
          <w:szCs w:val="22"/>
        </w:rPr>
        <w:t>copolímero</w:t>
      </w:r>
      <w:proofErr w:type="spellEnd"/>
      <w:r w:rsidRPr="007650C6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650C6">
        <w:rPr>
          <w:rFonts w:ascii="Arial Narrow" w:hAnsi="Arial Narrow"/>
          <w:sz w:val="22"/>
          <w:szCs w:val="22"/>
        </w:rPr>
        <w:t>random</w:t>
      </w:r>
      <w:proofErr w:type="spellEnd"/>
      <w:r w:rsidRPr="007650C6">
        <w:rPr>
          <w:rFonts w:ascii="Arial Narrow" w:hAnsi="Arial Narrow"/>
          <w:sz w:val="22"/>
          <w:szCs w:val="22"/>
        </w:rPr>
        <w:t xml:space="preserve"> tipo 3 con uniones soldadas (tipo “Saladillo– </w:t>
      </w:r>
      <w:proofErr w:type="spellStart"/>
      <w:r w:rsidRPr="007650C6">
        <w:rPr>
          <w:rFonts w:ascii="Arial Narrow" w:hAnsi="Arial Narrow"/>
          <w:sz w:val="22"/>
          <w:szCs w:val="22"/>
        </w:rPr>
        <w:t>Hidro</w:t>
      </w:r>
      <w:proofErr w:type="spellEnd"/>
      <w:r w:rsidRPr="007650C6">
        <w:rPr>
          <w:rFonts w:ascii="Arial Narrow" w:hAnsi="Arial Narrow"/>
          <w:sz w:val="22"/>
          <w:szCs w:val="22"/>
        </w:rPr>
        <w:t xml:space="preserve"> 3”, “</w:t>
      </w:r>
      <w:proofErr w:type="spellStart"/>
      <w:r w:rsidRPr="007650C6">
        <w:rPr>
          <w:rFonts w:ascii="Arial Narrow" w:hAnsi="Arial Narrow"/>
          <w:sz w:val="22"/>
          <w:szCs w:val="22"/>
        </w:rPr>
        <w:t>Acqua-System</w:t>
      </w:r>
      <w:proofErr w:type="spellEnd"/>
      <w:r w:rsidRPr="007650C6">
        <w:rPr>
          <w:rFonts w:ascii="Arial Narrow" w:hAnsi="Arial Narrow"/>
          <w:sz w:val="22"/>
          <w:szCs w:val="22"/>
        </w:rPr>
        <w:t>”, etc.) según Norma UNIT No. 799/90 y 879/91, con accesorios del mismo material, y con roscas metálicas en los puntos de conexión de griferías o colillas.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Los </w:t>
      </w:r>
      <w:r w:rsidRPr="00AA044A">
        <w:rPr>
          <w:rFonts w:ascii="Arial Narrow" w:hAnsi="Arial Narrow"/>
          <w:sz w:val="22"/>
          <w:szCs w:val="22"/>
        </w:rPr>
        <w:t>diámetros</w:t>
      </w:r>
      <w:r w:rsidRPr="007650C6">
        <w:rPr>
          <w:rFonts w:ascii="Arial Narrow" w:hAnsi="Arial Narrow"/>
          <w:sz w:val="22"/>
          <w:szCs w:val="22"/>
        </w:rPr>
        <w:t xml:space="preserve"> indicados en los recaudos gráficos son los diámetros nominales. Los diámetros de polipropileno a instalar, de acuerdo a la marca de la tubería</w:t>
      </w:r>
      <w:r>
        <w:rPr>
          <w:rFonts w:ascii="Arial Narrow" w:hAnsi="Arial Narrow"/>
          <w:sz w:val="22"/>
          <w:szCs w:val="22"/>
        </w:rPr>
        <w:t>.</w:t>
      </w:r>
      <w:r w:rsidRPr="007650C6">
        <w:rPr>
          <w:rFonts w:ascii="Arial Narrow" w:hAnsi="Arial Narrow"/>
          <w:sz w:val="22"/>
          <w:szCs w:val="22"/>
        </w:rPr>
        <w:t xml:space="preserve"> </w:t>
      </w:r>
    </w:p>
    <w:p w:rsidR="001C645F" w:rsidRPr="007650C6" w:rsidRDefault="003B3732" w:rsidP="00EE4D1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4.3 </w:t>
      </w:r>
      <w:r w:rsidR="001C645F" w:rsidRPr="007650C6">
        <w:rPr>
          <w:rFonts w:ascii="Arial Narrow" w:hAnsi="Arial Narrow"/>
          <w:b/>
          <w:bCs/>
          <w:sz w:val="22"/>
          <w:szCs w:val="22"/>
        </w:rPr>
        <w:t>Protección y sujeción: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Las tuberías observarán una rigurosa </w:t>
      </w:r>
      <w:proofErr w:type="spellStart"/>
      <w:r w:rsidRPr="007650C6">
        <w:rPr>
          <w:rFonts w:ascii="Arial Narrow" w:hAnsi="Arial Narrow"/>
          <w:sz w:val="22"/>
          <w:szCs w:val="22"/>
        </w:rPr>
        <w:t>ortogonalidad</w:t>
      </w:r>
      <w:proofErr w:type="spellEnd"/>
      <w:r w:rsidRPr="007650C6">
        <w:rPr>
          <w:rFonts w:ascii="Arial Narrow" w:hAnsi="Arial Narrow"/>
          <w:sz w:val="22"/>
          <w:szCs w:val="22"/>
        </w:rPr>
        <w:t>. Las curvas a 90° se realizarán con accesorios, evitándose el doblado del tubo.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La toma terminales de abastecimiento se dejarán posicionadas de acuerdo al proyecto y en coordinación con la </w:t>
      </w:r>
      <w:r w:rsidR="003B3732">
        <w:rPr>
          <w:rFonts w:ascii="Arial Narrow" w:hAnsi="Arial Narrow"/>
          <w:sz w:val="22"/>
          <w:szCs w:val="22"/>
        </w:rPr>
        <w:t>Supervisión</w:t>
      </w:r>
      <w:r w:rsidRPr="007650C6">
        <w:rPr>
          <w:rFonts w:ascii="Arial Narrow" w:hAnsi="Arial Narrow"/>
          <w:sz w:val="22"/>
          <w:szCs w:val="22"/>
        </w:rPr>
        <w:t xml:space="preserve"> de obra, de manera de permitir la correcta terminación de los revestimientos.</w:t>
      </w:r>
    </w:p>
    <w:p w:rsidR="001C645F" w:rsidRPr="007650C6" w:rsidRDefault="003B3732" w:rsidP="00EE4D19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4.4 </w:t>
      </w:r>
      <w:r w:rsidR="001C645F" w:rsidRPr="007650C6">
        <w:rPr>
          <w:rFonts w:ascii="Arial Narrow" w:hAnsi="Arial Narrow"/>
          <w:b/>
          <w:bCs/>
          <w:sz w:val="22"/>
          <w:szCs w:val="22"/>
        </w:rPr>
        <w:t>Prueba: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 xml:space="preserve">Se deberán realizar pruebas hidráulicas a todas las tuberías existentes que se proyecta conservar, antes de realizar las obras que las involucran, estando a lo que resuelva la </w:t>
      </w:r>
      <w:r w:rsidR="003B3732">
        <w:rPr>
          <w:rFonts w:ascii="Arial Narrow" w:hAnsi="Arial Narrow"/>
          <w:sz w:val="22"/>
          <w:szCs w:val="22"/>
        </w:rPr>
        <w:t>Supervisión</w:t>
      </w:r>
      <w:r w:rsidRPr="007650C6">
        <w:rPr>
          <w:rFonts w:ascii="Arial Narrow" w:hAnsi="Arial Narrow"/>
          <w:sz w:val="22"/>
          <w:szCs w:val="22"/>
        </w:rPr>
        <w:t xml:space="preserve"> de Obra en cada caso.</w:t>
      </w:r>
    </w:p>
    <w:p w:rsidR="001C645F" w:rsidRPr="007650C6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>La totalidad de las tuberías deberán demostrar estanqueidad absoluta, sometidas a carga hidrostática equivalente a 2 veces su presión de trabajo, con un mínimo de 6 Kg/cm² durante 1 hora.</w:t>
      </w:r>
    </w:p>
    <w:p w:rsidR="001C645F" w:rsidRDefault="001C645F" w:rsidP="00EE4D1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7650C6">
        <w:rPr>
          <w:rFonts w:ascii="Arial Narrow" w:hAnsi="Arial Narrow"/>
          <w:sz w:val="22"/>
          <w:szCs w:val="22"/>
        </w:rPr>
        <w:t>La prueba se repetirá una vez que se hayan realizado las nuevas instalaciones.</w:t>
      </w:r>
    </w:p>
    <w:p w:rsidR="000031A6" w:rsidRPr="000031A6" w:rsidRDefault="000031A6" w:rsidP="00EE4D19">
      <w:pPr>
        <w:tabs>
          <w:tab w:val="left" w:pos="0"/>
          <w:tab w:val="left" w:pos="2304"/>
          <w:tab w:val="left" w:pos="2448"/>
          <w:tab w:val="left" w:pos="4752"/>
          <w:tab w:val="left" w:pos="9923"/>
        </w:tabs>
        <w:jc w:val="both"/>
        <w:rPr>
          <w:rFonts w:ascii="Arial Narrow" w:hAnsi="Arial Narrow"/>
          <w:b/>
          <w:sz w:val="22"/>
          <w:szCs w:val="22"/>
        </w:rPr>
      </w:pPr>
      <w:r w:rsidRPr="000031A6">
        <w:rPr>
          <w:rFonts w:ascii="Arial Narrow" w:hAnsi="Arial Narrow"/>
          <w:b/>
          <w:sz w:val="22"/>
          <w:szCs w:val="22"/>
        </w:rPr>
        <w:t>4.5 Grifería:</w:t>
      </w:r>
    </w:p>
    <w:p w:rsidR="00BD0BE5" w:rsidRDefault="00F309D1" w:rsidP="00EE4D1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23"/>
        </w:tabs>
        <w:suppressAutoHyphens/>
        <w:ind w:right="1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Se suministrará 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monocomando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 de mesa cromado tipo “</w:t>
      </w:r>
      <w:proofErr w:type="spellStart"/>
      <w:r>
        <w:rPr>
          <w:rFonts w:ascii="Arial Narrow" w:hAnsi="Arial Narrow"/>
          <w:spacing w:val="-2"/>
          <w:sz w:val="22"/>
          <w:szCs w:val="22"/>
        </w:rPr>
        <w:t>docol</w:t>
      </w:r>
      <w:proofErr w:type="spellEnd"/>
      <w:r>
        <w:rPr>
          <w:rFonts w:ascii="Arial Narrow" w:hAnsi="Arial Narrow"/>
          <w:spacing w:val="-2"/>
          <w:sz w:val="22"/>
          <w:szCs w:val="22"/>
        </w:rPr>
        <w:t xml:space="preserve">” </w:t>
      </w:r>
      <w:r w:rsidR="000031A6" w:rsidRPr="00366E08">
        <w:rPr>
          <w:rFonts w:ascii="Arial Narrow" w:hAnsi="Arial Narrow"/>
          <w:spacing w:val="-2"/>
          <w:sz w:val="22"/>
          <w:szCs w:val="22"/>
        </w:rPr>
        <w:t>o similar en cuanto a calidad y prestaciones a juicio de la Supervisión de Obra.</w:t>
      </w:r>
    </w:p>
    <w:p w:rsidR="00BD0BE5" w:rsidRPr="00BD0BE5" w:rsidRDefault="00BD0BE5" w:rsidP="00EE4D1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23"/>
        </w:tabs>
        <w:suppressAutoHyphens/>
        <w:ind w:right="1"/>
        <w:jc w:val="both"/>
        <w:rPr>
          <w:rFonts w:ascii="Arial Narrow" w:hAnsi="Arial Narrow"/>
          <w:spacing w:val="-2"/>
          <w:sz w:val="22"/>
          <w:szCs w:val="22"/>
        </w:rPr>
      </w:pPr>
    </w:p>
    <w:p w:rsidR="00DD7D98" w:rsidRDefault="00BD0BE5" w:rsidP="00DD7D98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5. Artefactos sanitarios</w:t>
      </w:r>
      <w:r w:rsidRPr="007650C6">
        <w:rPr>
          <w:rFonts w:ascii="Arial Narrow" w:hAnsi="Arial Narrow"/>
          <w:b/>
          <w:bCs/>
          <w:sz w:val="22"/>
          <w:szCs w:val="22"/>
        </w:rPr>
        <w:t>:</w:t>
      </w:r>
    </w:p>
    <w:p w:rsidR="00DD7D98" w:rsidRDefault="00BD0BE5" w:rsidP="00DD7D98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BD0BE5">
        <w:rPr>
          <w:rFonts w:ascii="Arial Narrow" w:hAnsi="Arial Narrow"/>
          <w:b/>
          <w:sz w:val="22"/>
          <w:szCs w:val="22"/>
        </w:rPr>
        <w:t xml:space="preserve">5.1 </w:t>
      </w:r>
      <w:r w:rsidR="000031A6" w:rsidRPr="00BD0BE5">
        <w:rPr>
          <w:rFonts w:ascii="Arial Narrow" w:hAnsi="Arial Narrow"/>
          <w:b/>
          <w:sz w:val="22"/>
          <w:szCs w:val="22"/>
        </w:rPr>
        <w:t>Pileta de cocina:</w:t>
      </w:r>
    </w:p>
    <w:p w:rsidR="000031A6" w:rsidRPr="00DD7D98" w:rsidRDefault="000031A6" w:rsidP="00DD7D98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4B6E66">
        <w:rPr>
          <w:rFonts w:ascii="Arial Narrow" w:hAnsi="Arial Narrow"/>
          <w:spacing w:val="-2"/>
          <w:sz w:val="22"/>
          <w:szCs w:val="22"/>
        </w:rPr>
        <w:t>Se utilizar</w:t>
      </w:r>
      <w:r>
        <w:rPr>
          <w:rFonts w:ascii="Arial Narrow" w:hAnsi="Arial Narrow"/>
          <w:spacing w:val="-2"/>
          <w:sz w:val="22"/>
          <w:szCs w:val="22"/>
        </w:rPr>
        <w:t>á</w:t>
      </w:r>
      <w:r>
        <w:rPr>
          <w:rFonts w:ascii="Arial Narrow" w:hAnsi="Arial Narrow"/>
          <w:sz w:val="22"/>
          <w:szCs w:val="22"/>
          <w:lang w:val="es-ES_tradnl"/>
        </w:rPr>
        <w:t xml:space="preserve"> pileta de cocina rectangular (400x340mm</w:t>
      </w:r>
      <w:proofErr w:type="gramStart"/>
      <w:r w:rsidR="00DD7D98">
        <w:rPr>
          <w:rFonts w:ascii="Arial Narrow" w:hAnsi="Arial Narrow"/>
          <w:sz w:val="22"/>
          <w:szCs w:val="22"/>
          <w:lang w:val="es-ES_tradnl"/>
        </w:rPr>
        <w:t>,150mm</w:t>
      </w:r>
      <w:proofErr w:type="gramEnd"/>
      <w:r w:rsidR="00DD7D98">
        <w:rPr>
          <w:rFonts w:ascii="Arial Narrow" w:hAnsi="Arial Narrow"/>
          <w:sz w:val="22"/>
          <w:szCs w:val="22"/>
          <w:lang w:val="es-ES_tradnl"/>
        </w:rPr>
        <w:t xml:space="preserve"> de profundidad</w:t>
      </w:r>
      <w:r>
        <w:rPr>
          <w:rFonts w:ascii="Arial Narrow" w:hAnsi="Arial Narrow"/>
          <w:sz w:val="22"/>
          <w:szCs w:val="22"/>
          <w:lang w:val="es-ES_tradnl"/>
        </w:rPr>
        <w:t xml:space="preserve">) tipo </w:t>
      </w:r>
      <w:proofErr w:type="spellStart"/>
      <w:r>
        <w:rPr>
          <w:rFonts w:ascii="Arial Narrow" w:hAnsi="Arial Narrow"/>
          <w:sz w:val="22"/>
          <w:szCs w:val="22"/>
          <w:lang w:val="es-ES_tradnl"/>
        </w:rPr>
        <w:t>tramontina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 xml:space="preserve"> en Acero Inoxidable (Acero 304) la cual se colocara por debajo de la mesada de granito.</w:t>
      </w:r>
    </w:p>
    <w:p w:rsidR="000031A6" w:rsidRPr="00BD0BE5" w:rsidRDefault="000031A6" w:rsidP="00EE4D19">
      <w:pPr>
        <w:tabs>
          <w:tab w:val="left" w:pos="0"/>
          <w:tab w:val="left" w:pos="2304"/>
          <w:tab w:val="left" w:pos="2448"/>
          <w:tab w:val="left" w:pos="4752"/>
          <w:tab w:val="left" w:pos="9923"/>
        </w:tabs>
        <w:jc w:val="both"/>
        <w:rPr>
          <w:rFonts w:ascii="Arial Narrow" w:hAnsi="Arial Narrow"/>
          <w:spacing w:val="-2"/>
          <w:sz w:val="22"/>
          <w:szCs w:val="22"/>
        </w:rPr>
      </w:pPr>
      <w:r w:rsidRPr="00BD0BE5">
        <w:rPr>
          <w:rFonts w:ascii="Arial Narrow" w:hAnsi="Arial Narrow"/>
          <w:spacing w:val="-2"/>
          <w:sz w:val="22"/>
          <w:szCs w:val="22"/>
        </w:rPr>
        <w:t>En caso de no usar este modelo deberán modificarse las perforaciones de las mesadas de granito.</w:t>
      </w:r>
    </w:p>
    <w:p w:rsidR="00BD0BE5" w:rsidRPr="00BD0BE5" w:rsidRDefault="00BD0BE5" w:rsidP="00EE4D19">
      <w:pPr>
        <w:tabs>
          <w:tab w:val="left" w:pos="0"/>
          <w:tab w:val="left" w:pos="2304"/>
          <w:tab w:val="left" w:pos="2448"/>
          <w:tab w:val="left" w:pos="4752"/>
          <w:tab w:val="left" w:pos="9923"/>
        </w:tabs>
        <w:jc w:val="both"/>
        <w:rPr>
          <w:rFonts w:ascii="Arial Narrow" w:hAnsi="Arial Narrow"/>
          <w:b/>
          <w:sz w:val="22"/>
          <w:szCs w:val="22"/>
        </w:rPr>
      </w:pPr>
    </w:p>
    <w:p w:rsidR="000031A6" w:rsidRPr="00BD0BE5" w:rsidRDefault="00BD0BE5" w:rsidP="00EE4D19">
      <w:pPr>
        <w:tabs>
          <w:tab w:val="left" w:pos="0"/>
          <w:tab w:val="left" w:pos="2304"/>
          <w:tab w:val="left" w:pos="2448"/>
          <w:tab w:val="left" w:pos="4752"/>
          <w:tab w:val="left" w:pos="9923"/>
        </w:tabs>
        <w:jc w:val="both"/>
        <w:rPr>
          <w:rFonts w:ascii="Arial Narrow" w:hAnsi="Arial Narrow"/>
          <w:b/>
          <w:sz w:val="22"/>
          <w:szCs w:val="22"/>
        </w:rPr>
      </w:pPr>
      <w:r w:rsidRPr="00BD0BE5">
        <w:rPr>
          <w:rFonts w:ascii="Arial Narrow" w:hAnsi="Arial Narrow"/>
          <w:b/>
          <w:sz w:val="22"/>
          <w:szCs w:val="22"/>
        </w:rPr>
        <w:t xml:space="preserve">5.2 </w:t>
      </w:r>
      <w:r w:rsidR="000031A6" w:rsidRPr="00BD0BE5">
        <w:rPr>
          <w:rFonts w:ascii="Arial Narrow" w:hAnsi="Arial Narrow"/>
          <w:b/>
          <w:sz w:val="22"/>
          <w:szCs w:val="22"/>
        </w:rPr>
        <w:t>Accesorios:</w:t>
      </w:r>
    </w:p>
    <w:p w:rsidR="000031A6" w:rsidRDefault="000031A6" w:rsidP="00EE4D19">
      <w:pPr>
        <w:tabs>
          <w:tab w:val="left" w:pos="0"/>
          <w:tab w:val="left" w:pos="142"/>
          <w:tab w:val="left" w:pos="1152"/>
          <w:tab w:val="left" w:pos="2304"/>
          <w:tab w:val="left" w:pos="2448"/>
          <w:tab w:val="left" w:pos="4752"/>
          <w:tab w:val="left" w:pos="9923"/>
        </w:tabs>
        <w:ind w:right="1"/>
        <w:jc w:val="both"/>
        <w:rPr>
          <w:rFonts w:ascii="Arial Narrow" w:hAnsi="Arial Narrow"/>
          <w:sz w:val="22"/>
          <w:szCs w:val="22"/>
        </w:rPr>
      </w:pPr>
      <w:r w:rsidRPr="004B6E66">
        <w:rPr>
          <w:rFonts w:ascii="Arial Narrow" w:hAnsi="Arial Narrow"/>
          <w:sz w:val="22"/>
          <w:szCs w:val="22"/>
        </w:rPr>
        <w:t>El Su</w:t>
      </w:r>
      <w:r>
        <w:rPr>
          <w:rFonts w:ascii="Arial Narrow" w:hAnsi="Arial Narrow"/>
          <w:sz w:val="22"/>
          <w:szCs w:val="22"/>
        </w:rPr>
        <w:t>bcontratista dejará posicionada</w:t>
      </w:r>
      <w:r w:rsidRPr="004B6E66">
        <w:rPr>
          <w:rFonts w:ascii="Arial Narrow" w:hAnsi="Arial Narrow"/>
          <w:sz w:val="22"/>
          <w:szCs w:val="22"/>
        </w:rPr>
        <w:t xml:space="preserve"> la</w:t>
      </w:r>
      <w:r>
        <w:rPr>
          <w:rFonts w:ascii="Arial Narrow" w:hAnsi="Arial Narrow"/>
          <w:sz w:val="22"/>
          <w:szCs w:val="22"/>
        </w:rPr>
        <w:t xml:space="preserve"> conexión</w:t>
      </w:r>
      <w:r w:rsidRPr="004B6E66">
        <w:rPr>
          <w:rFonts w:ascii="Arial Narrow" w:hAnsi="Arial Narrow"/>
          <w:sz w:val="22"/>
          <w:szCs w:val="22"/>
        </w:rPr>
        <w:t xml:space="preserve"> para </w:t>
      </w:r>
      <w:r>
        <w:rPr>
          <w:rFonts w:ascii="Arial Narrow" w:hAnsi="Arial Narrow"/>
          <w:sz w:val="22"/>
          <w:szCs w:val="22"/>
        </w:rPr>
        <w:t>el desagüe de la pileta de cocina</w:t>
      </w:r>
      <w:r w:rsidRPr="004B6E66">
        <w:rPr>
          <w:rFonts w:ascii="Arial Narrow" w:hAnsi="Arial Narrow"/>
          <w:sz w:val="22"/>
          <w:szCs w:val="22"/>
        </w:rPr>
        <w:t>, así como las tapas de los registros y la toma</w:t>
      </w:r>
      <w:r>
        <w:rPr>
          <w:rFonts w:ascii="Arial Narrow" w:hAnsi="Arial Narrow"/>
          <w:sz w:val="22"/>
          <w:szCs w:val="22"/>
        </w:rPr>
        <w:t xml:space="preserve"> terminal</w:t>
      </w:r>
      <w:r w:rsidRPr="004B6E66">
        <w:rPr>
          <w:rFonts w:ascii="Arial Narrow" w:hAnsi="Arial Narrow"/>
          <w:sz w:val="22"/>
          <w:szCs w:val="22"/>
        </w:rPr>
        <w:t xml:space="preserve"> de abastecimiento, de acuerdo al proyecto y en coordinación con la </w:t>
      </w:r>
      <w:r>
        <w:rPr>
          <w:rFonts w:ascii="Arial Narrow" w:hAnsi="Arial Narrow"/>
          <w:sz w:val="22"/>
          <w:szCs w:val="22"/>
        </w:rPr>
        <w:t>Supervisión</w:t>
      </w:r>
      <w:r w:rsidRPr="004B6E66">
        <w:rPr>
          <w:rFonts w:ascii="Arial Narrow" w:hAnsi="Arial Narrow"/>
          <w:sz w:val="22"/>
          <w:szCs w:val="22"/>
        </w:rPr>
        <w:t xml:space="preserve"> de obra, de manera de permitir la correcta terminación de los revestimientos. Las tomas de abastecimiento se dispondrán simétricas respecto al eje del artefacto y llevarán tapajuntas cromados.</w:t>
      </w:r>
    </w:p>
    <w:p w:rsidR="000031A6" w:rsidRPr="004B6E66" w:rsidRDefault="000031A6" w:rsidP="00EE4D19">
      <w:pPr>
        <w:tabs>
          <w:tab w:val="left" w:pos="0"/>
          <w:tab w:val="left" w:pos="142"/>
          <w:tab w:val="left" w:pos="1152"/>
          <w:tab w:val="left" w:pos="2304"/>
          <w:tab w:val="left" w:pos="2448"/>
          <w:tab w:val="left" w:pos="4752"/>
          <w:tab w:val="left" w:pos="9923"/>
        </w:tabs>
        <w:ind w:right="1"/>
        <w:jc w:val="both"/>
        <w:rPr>
          <w:rFonts w:ascii="Arial Narrow" w:hAnsi="Arial Narrow"/>
          <w:sz w:val="22"/>
          <w:szCs w:val="22"/>
        </w:rPr>
      </w:pPr>
      <w:r w:rsidRPr="004B6E66">
        <w:rPr>
          <w:rFonts w:ascii="Arial Narrow" w:hAnsi="Arial Narrow"/>
          <w:sz w:val="22"/>
          <w:szCs w:val="22"/>
        </w:rPr>
        <w:t xml:space="preserve">Las colillas de conexión </w:t>
      </w:r>
      <w:r>
        <w:rPr>
          <w:rFonts w:ascii="Arial Narrow" w:hAnsi="Arial Narrow"/>
          <w:sz w:val="22"/>
          <w:szCs w:val="22"/>
        </w:rPr>
        <w:t>de la pileta de cocina</w:t>
      </w:r>
      <w:r w:rsidRPr="004B6E66">
        <w:rPr>
          <w:rFonts w:ascii="Arial Narrow" w:hAnsi="Arial Narrow"/>
          <w:sz w:val="22"/>
          <w:szCs w:val="22"/>
        </w:rPr>
        <w:t xml:space="preserve"> te</w:t>
      </w:r>
      <w:r>
        <w:rPr>
          <w:rFonts w:ascii="Arial Narrow" w:hAnsi="Arial Narrow"/>
          <w:sz w:val="22"/>
          <w:szCs w:val="22"/>
        </w:rPr>
        <w:t>ndrá</w:t>
      </w:r>
      <w:r w:rsidRPr="004B6E66">
        <w:rPr>
          <w:rFonts w:ascii="Arial Narrow" w:hAnsi="Arial Narrow"/>
          <w:sz w:val="22"/>
          <w:szCs w:val="22"/>
        </w:rPr>
        <w:t xml:space="preserve"> extremos metálicos (serán uno macho y el otro hembra) debiendo vincularse la cañería embutida en la pared directamente, sin interposición de pieza alguna (</w:t>
      </w:r>
      <w:proofErr w:type="spellStart"/>
      <w:r w:rsidRPr="004B6E66">
        <w:rPr>
          <w:rFonts w:ascii="Arial Narrow" w:hAnsi="Arial Narrow"/>
          <w:sz w:val="22"/>
          <w:szCs w:val="22"/>
        </w:rPr>
        <w:t>niple</w:t>
      </w:r>
      <w:proofErr w:type="spellEnd"/>
      <w:r w:rsidRPr="004B6E66">
        <w:rPr>
          <w:rFonts w:ascii="Arial Narrow" w:hAnsi="Arial Narrow"/>
          <w:sz w:val="22"/>
          <w:szCs w:val="22"/>
        </w:rPr>
        <w:t>, entrerrosca o prolongación). Las abrazaderas que sujetan a presión el tubo plástico al extremo metálico deberán ser de bronce o latón.</w:t>
      </w:r>
    </w:p>
    <w:p w:rsidR="000031A6" w:rsidRPr="004B6E66" w:rsidRDefault="000031A6" w:rsidP="00EE4D19">
      <w:pPr>
        <w:tabs>
          <w:tab w:val="left" w:pos="0"/>
          <w:tab w:val="left" w:pos="142"/>
          <w:tab w:val="left" w:pos="1152"/>
          <w:tab w:val="left" w:pos="2304"/>
          <w:tab w:val="left" w:pos="2448"/>
          <w:tab w:val="left" w:pos="4752"/>
          <w:tab w:val="left" w:pos="9923"/>
        </w:tabs>
        <w:ind w:right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 sifón de la pileta</w:t>
      </w:r>
      <w:r w:rsidRPr="004B6E66">
        <w:rPr>
          <w:rFonts w:ascii="Arial Narrow" w:hAnsi="Arial Narrow"/>
          <w:sz w:val="22"/>
          <w:szCs w:val="22"/>
        </w:rPr>
        <w:t xml:space="preserve"> serán de acero inoxidable “</w:t>
      </w:r>
      <w:proofErr w:type="spellStart"/>
      <w:r w:rsidRPr="004B6E66">
        <w:rPr>
          <w:rFonts w:ascii="Arial Narrow" w:hAnsi="Arial Narrow"/>
          <w:sz w:val="22"/>
          <w:szCs w:val="22"/>
        </w:rPr>
        <w:t>Tramontina</w:t>
      </w:r>
      <w:proofErr w:type="spellEnd"/>
      <w:r w:rsidRPr="004B6E66">
        <w:rPr>
          <w:rFonts w:ascii="Arial Narrow" w:hAnsi="Arial Narrow"/>
          <w:sz w:val="22"/>
          <w:szCs w:val="22"/>
        </w:rPr>
        <w:t>” de 40mm o similar.</w:t>
      </w:r>
    </w:p>
    <w:p w:rsidR="00947B56" w:rsidRPr="004C6B75" w:rsidRDefault="00947B56" w:rsidP="00EE4D19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sectPr w:rsidR="00947B56" w:rsidRPr="004C6B75" w:rsidSect="000041A3">
      <w:headerReference w:type="default" r:id="rId8"/>
      <w:footerReference w:type="default" r:id="rId9"/>
      <w:pgSz w:w="12240" w:h="15840"/>
      <w:pgMar w:top="1417" w:right="1701" w:bottom="1417" w:left="1701" w:header="480" w:footer="96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98" w:rsidRDefault="00DD7D98">
      <w:r>
        <w:separator/>
      </w:r>
    </w:p>
  </w:endnote>
  <w:endnote w:type="continuationSeparator" w:id="1">
    <w:p w:rsidR="00DD7D98" w:rsidRDefault="00DD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98" w:rsidRDefault="00DD7D98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09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D7D98" w:rsidRDefault="00DD7D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98" w:rsidRDefault="00DD7D98">
      <w:r>
        <w:separator/>
      </w:r>
    </w:p>
  </w:footnote>
  <w:footnote w:type="continuationSeparator" w:id="1">
    <w:p w:rsidR="00DD7D98" w:rsidRDefault="00DD7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98" w:rsidRDefault="00DD7D98" w:rsidP="0006407F">
    <w:pPr>
      <w:pStyle w:val="Encabezado"/>
      <w:jc w:val="center"/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2479040</wp:posOffset>
          </wp:positionH>
          <wp:positionV relativeFrom="paragraph">
            <wp:posOffset>99060</wp:posOffset>
          </wp:positionV>
          <wp:extent cx="618490" cy="574040"/>
          <wp:effectExtent l="19050" t="0" r="0" b="0"/>
          <wp:wrapTopAndBottom/>
          <wp:docPr id="2" name="Imagen 2" descr="D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G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7D98" w:rsidRDefault="00DD7D98" w:rsidP="0006407F">
    <w:pPr>
      <w:pStyle w:val="Encabezado"/>
      <w:jc w:val="center"/>
      <w:rPr>
        <w:rFonts w:ascii="Century Gothic" w:hAnsi="Century Gothic"/>
        <w:color w:val="0000FF"/>
      </w:rPr>
    </w:pPr>
  </w:p>
  <w:p w:rsidR="00DD7D98" w:rsidRDefault="00DD7D98" w:rsidP="0006407F">
    <w:pPr>
      <w:pStyle w:val="Encabezado"/>
      <w:jc w:val="center"/>
      <w:rPr>
        <w:rFonts w:ascii="Century Gothic" w:hAnsi="Century Gothic"/>
        <w:color w:val="0000FF"/>
      </w:rPr>
    </w:pPr>
  </w:p>
  <w:p w:rsidR="00DD7D98" w:rsidRDefault="00DD7D98" w:rsidP="0006407F">
    <w:pPr>
      <w:pStyle w:val="Encabezado"/>
      <w:jc w:val="center"/>
      <w:rPr>
        <w:rFonts w:ascii="Century Gothic" w:hAnsi="Century Gothic"/>
        <w:color w:val="0000FF"/>
      </w:rPr>
    </w:pPr>
  </w:p>
  <w:p w:rsidR="00DD7D98" w:rsidRDefault="00DD7D98" w:rsidP="0006407F">
    <w:pPr>
      <w:pStyle w:val="Encabezado"/>
      <w:jc w:val="center"/>
      <w:rPr>
        <w:rFonts w:ascii="Century Gothic" w:hAnsi="Century Gothic"/>
        <w:b/>
        <w:bCs/>
        <w:color w:val="333333"/>
        <w:sz w:val="16"/>
        <w:szCs w:val="16"/>
      </w:rPr>
    </w:pPr>
  </w:p>
  <w:p w:rsidR="00DD7D98" w:rsidRDefault="00DD7D98" w:rsidP="0006407F">
    <w:pPr>
      <w:pStyle w:val="Encabezado"/>
      <w:jc w:val="center"/>
      <w:rPr>
        <w:rFonts w:ascii="Century Gothic" w:hAnsi="Century Gothic"/>
        <w:b/>
        <w:bCs/>
        <w:color w:val="333333"/>
        <w:sz w:val="16"/>
        <w:szCs w:val="16"/>
      </w:rPr>
    </w:pPr>
    <w:r>
      <w:rPr>
        <w:rFonts w:ascii="Century Gothic" w:hAnsi="Century Gothic"/>
        <w:b/>
        <w:bCs/>
        <w:color w:val="333333"/>
        <w:sz w:val="16"/>
        <w:szCs w:val="16"/>
      </w:rPr>
      <w:t>UNIVERSIDAD  DE  LA  REPUBLICA</w:t>
    </w:r>
  </w:p>
  <w:p w:rsidR="00DD7D98" w:rsidRDefault="00DD7D98" w:rsidP="0006407F">
    <w:pPr>
      <w:pStyle w:val="Encabezado"/>
      <w:jc w:val="center"/>
      <w:rPr>
        <w:rFonts w:ascii="Century Gothic" w:hAnsi="Century Gothic"/>
        <w:color w:val="0000FF"/>
        <w:sz w:val="12"/>
        <w:szCs w:val="12"/>
      </w:rPr>
    </w:pPr>
    <w:r>
      <w:rPr>
        <w:rFonts w:ascii="Century Gothic" w:hAnsi="Century Gothic"/>
        <w:color w:val="333333"/>
        <w:sz w:val="12"/>
        <w:szCs w:val="12"/>
      </w:rPr>
      <w:t>DIRECCION GENERAL DE ARQUITECTURA</w:t>
    </w:r>
  </w:p>
  <w:p w:rsidR="00DD7D98" w:rsidRDefault="00DD7D98">
    <w:pPr>
      <w:tabs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spacing w:line="240" w:lineRule="exact"/>
      <w:ind w:left="1008"/>
      <w:rPr>
        <w:rFonts w:ascii="Courier New" w:hAnsi="Courier New"/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88D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272A1D46"/>
    <w:multiLevelType w:val="hybridMultilevel"/>
    <w:tmpl w:val="69207F66"/>
    <w:lvl w:ilvl="0" w:tplc="9308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ABA"/>
    <w:multiLevelType w:val="multilevel"/>
    <w:tmpl w:val="92EE4DA2"/>
    <w:lvl w:ilvl="0">
      <w:start w:val="5"/>
      <w:numFmt w:val="decimalZero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064ADB"/>
    <w:multiLevelType w:val="hybridMultilevel"/>
    <w:tmpl w:val="2004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E3F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2AF1C02"/>
    <w:multiLevelType w:val="multilevel"/>
    <w:tmpl w:val="79D44F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4B25631"/>
    <w:multiLevelType w:val="hybridMultilevel"/>
    <w:tmpl w:val="A44A23EA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C46D8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FF679D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49836DA"/>
    <w:multiLevelType w:val="hybridMultilevel"/>
    <w:tmpl w:val="291CA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678A7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D8B209C"/>
    <w:multiLevelType w:val="hybridMultilevel"/>
    <w:tmpl w:val="644AF952"/>
    <w:lvl w:ilvl="0" w:tplc="D7127798">
      <w:start w:val="4"/>
      <w:numFmt w:val="decimal"/>
      <w:lvlText w:val="%1"/>
      <w:lvlJc w:val="left"/>
      <w:pPr>
        <w:ind w:left="720" w:hanging="360"/>
      </w:pPr>
      <w:rPr>
        <w:rFonts w:ascii="Switzerland" w:hAnsi="Switzerland" w:hint="default"/>
        <w:b w:val="0"/>
        <w:sz w:val="23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499B"/>
    <w:multiLevelType w:val="hybridMultilevel"/>
    <w:tmpl w:val="F16A141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121A3"/>
    <w:multiLevelType w:val="multilevel"/>
    <w:tmpl w:val="DF16F8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A3498F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6A255DC9"/>
    <w:multiLevelType w:val="hybridMultilevel"/>
    <w:tmpl w:val="76725FC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402C5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6C9427F0"/>
    <w:multiLevelType w:val="hybridMultilevel"/>
    <w:tmpl w:val="C898FFF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67F88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6EBC03AB"/>
    <w:multiLevelType w:val="multilevel"/>
    <w:tmpl w:val="D66C8D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4B5199"/>
    <w:multiLevelType w:val="multilevel"/>
    <w:tmpl w:val="B170836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74BF236C"/>
    <w:multiLevelType w:val="hybridMultilevel"/>
    <w:tmpl w:val="89D08AA2"/>
    <w:lvl w:ilvl="0" w:tplc="06EA986A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6"/>
  </w:num>
  <w:num w:numId="5">
    <w:abstractNumId w:val="20"/>
  </w:num>
  <w:num w:numId="6">
    <w:abstractNumId w:val="4"/>
  </w:num>
  <w:num w:numId="7">
    <w:abstractNumId w:val="14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  <w:num w:numId="15">
    <w:abstractNumId w:val="21"/>
  </w:num>
  <w:num w:numId="16">
    <w:abstractNumId w:val="5"/>
  </w:num>
  <w:num w:numId="17">
    <w:abstractNumId w:val="17"/>
  </w:num>
  <w:num w:numId="18">
    <w:abstractNumId w:val="1"/>
  </w:num>
  <w:num w:numId="19">
    <w:abstractNumId w:val="9"/>
  </w:num>
  <w:num w:numId="20">
    <w:abstractNumId w:val="3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savePreviewPicture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EA2E4E"/>
    <w:rsid w:val="000031A6"/>
    <w:rsid w:val="000041A3"/>
    <w:rsid w:val="00004E45"/>
    <w:rsid w:val="00010224"/>
    <w:rsid w:val="00032ACC"/>
    <w:rsid w:val="000618DB"/>
    <w:rsid w:val="0006407F"/>
    <w:rsid w:val="00071704"/>
    <w:rsid w:val="00091753"/>
    <w:rsid w:val="000A7C40"/>
    <w:rsid w:val="0012546D"/>
    <w:rsid w:val="001313B4"/>
    <w:rsid w:val="00144FC6"/>
    <w:rsid w:val="00146035"/>
    <w:rsid w:val="001A6C76"/>
    <w:rsid w:val="001B0568"/>
    <w:rsid w:val="001C2821"/>
    <w:rsid w:val="001C645F"/>
    <w:rsid w:val="001D74D5"/>
    <w:rsid w:val="001F13BA"/>
    <w:rsid w:val="00221A43"/>
    <w:rsid w:val="002223B6"/>
    <w:rsid w:val="00234B68"/>
    <w:rsid w:val="0023716D"/>
    <w:rsid w:val="00237E3B"/>
    <w:rsid w:val="0028672D"/>
    <w:rsid w:val="002A528A"/>
    <w:rsid w:val="002B4481"/>
    <w:rsid w:val="002D155C"/>
    <w:rsid w:val="00303284"/>
    <w:rsid w:val="00316CE5"/>
    <w:rsid w:val="00337EDA"/>
    <w:rsid w:val="00342A4C"/>
    <w:rsid w:val="00370DD2"/>
    <w:rsid w:val="00390EAB"/>
    <w:rsid w:val="003A7694"/>
    <w:rsid w:val="003B3732"/>
    <w:rsid w:val="003B68E2"/>
    <w:rsid w:val="004127B4"/>
    <w:rsid w:val="004169E0"/>
    <w:rsid w:val="00454A47"/>
    <w:rsid w:val="00463425"/>
    <w:rsid w:val="004920CC"/>
    <w:rsid w:val="004A7181"/>
    <w:rsid w:val="004C6B75"/>
    <w:rsid w:val="004D0AC2"/>
    <w:rsid w:val="00597DA7"/>
    <w:rsid w:val="005E314C"/>
    <w:rsid w:val="00622CE9"/>
    <w:rsid w:val="00635A13"/>
    <w:rsid w:val="00695E6E"/>
    <w:rsid w:val="006A01A2"/>
    <w:rsid w:val="006B1062"/>
    <w:rsid w:val="006D110C"/>
    <w:rsid w:val="006F2828"/>
    <w:rsid w:val="00741F6E"/>
    <w:rsid w:val="00750CF7"/>
    <w:rsid w:val="00765986"/>
    <w:rsid w:val="007904B5"/>
    <w:rsid w:val="007C609A"/>
    <w:rsid w:val="007E17F0"/>
    <w:rsid w:val="007F7F57"/>
    <w:rsid w:val="008060FF"/>
    <w:rsid w:val="008244F6"/>
    <w:rsid w:val="0084219E"/>
    <w:rsid w:val="008522B0"/>
    <w:rsid w:val="00863CC6"/>
    <w:rsid w:val="00872840"/>
    <w:rsid w:val="00884882"/>
    <w:rsid w:val="008A295F"/>
    <w:rsid w:val="008A4D7A"/>
    <w:rsid w:val="008B568F"/>
    <w:rsid w:val="008B7F6A"/>
    <w:rsid w:val="008C03AC"/>
    <w:rsid w:val="008E6887"/>
    <w:rsid w:val="00940893"/>
    <w:rsid w:val="00947B56"/>
    <w:rsid w:val="0095636E"/>
    <w:rsid w:val="00974E3E"/>
    <w:rsid w:val="009B47BB"/>
    <w:rsid w:val="009C3499"/>
    <w:rsid w:val="009C75A8"/>
    <w:rsid w:val="009F67D5"/>
    <w:rsid w:val="00A5619E"/>
    <w:rsid w:val="00A64BE3"/>
    <w:rsid w:val="00AC33D7"/>
    <w:rsid w:val="00AD6BB6"/>
    <w:rsid w:val="00B317AF"/>
    <w:rsid w:val="00B65FDA"/>
    <w:rsid w:val="00B93084"/>
    <w:rsid w:val="00BD0BE5"/>
    <w:rsid w:val="00BE6389"/>
    <w:rsid w:val="00BF07ED"/>
    <w:rsid w:val="00BF4ADA"/>
    <w:rsid w:val="00C4111F"/>
    <w:rsid w:val="00C74715"/>
    <w:rsid w:val="00C94ACD"/>
    <w:rsid w:val="00CB531C"/>
    <w:rsid w:val="00CB5D54"/>
    <w:rsid w:val="00CF48B7"/>
    <w:rsid w:val="00D01F40"/>
    <w:rsid w:val="00D07496"/>
    <w:rsid w:val="00D125C6"/>
    <w:rsid w:val="00D16C0E"/>
    <w:rsid w:val="00D23AA7"/>
    <w:rsid w:val="00D46484"/>
    <w:rsid w:val="00D527D2"/>
    <w:rsid w:val="00DA3D1C"/>
    <w:rsid w:val="00DB43D4"/>
    <w:rsid w:val="00DC2F29"/>
    <w:rsid w:val="00DC78C2"/>
    <w:rsid w:val="00DD23F2"/>
    <w:rsid w:val="00DD458C"/>
    <w:rsid w:val="00DD7D98"/>
    <w:rsid w:val="00DF0BE9"/>
    <w:rsid w:val="00DF5368"/>
    <w:rsid w:val="00E30467"/>
    <w:rsid w:val="00E806BE"/>
    <w:rsid w:val="00E956B4"/>
    <w:rsid w:val="00EA2E4E"/>
    <w:rsid w:val="00EA6579"/>
    <w:rsid w:val="00EE06A5"/>
    <w:rsid w:val="00EE4D19"/>
    <w:rsid w:val="00EF5467"/>
    <w:rsid w:val="00F026DE"/>
    <w:rsid w:val="00F10A02"/>
    <w:rsid w:val="00F309D1"/>
    <w:rsid w:val="00F37A0B"/>
    <w:rsid w:val="00F71044"/>
    <w:rsid w:val="00F741B3"/>
    <w:rsid w:val="00F83770"/>
    <w:rsid w:val="00F83A21"/>
    <w:rsid w:val="00FC0C14"/>
    <w:rsid w:val="00F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68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DF53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DF53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DF5368"/>
    <w:pPr>
      <w:keepNext/>
      <w:spacing w:before="240" w:after="60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F53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F5368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DF5368"/>
    <w:pPr>
      <w:spacing w:after="120"/>
      <w:ind w:left="283"/>
    </w:pPr>
  </w:style>
  <w:style w:type="paragraph" w:styleId="Lista2">
    <w:name w:val="List 2"/>
    <w:basedOn w:val="Normal"/>
    <w:rsid w:val="00DF5368"/>
    <w:pPr>
      <w:ind w:left="566" w:hanging="283"/>
    </w:pPr>
  </w:style>
  <w:style w:type="character" w:styleId="Nmerodepgina">
    <w:name w:val="page number"/>
    <w:basedOn w:val="Fuentedeprrafopredeter"/>
    <w:rsid w:val="00DF5368"/>
  </w:style>
  <w:style w:type="paragraph" w:customStyle="1" w:styleId="Textoindependiente22">
    <w:name w:val="Texto independiente 22"/>
    <w:basedOn w:val="Normal"/>
    <w:rsid w:val="00DF5368"/>
    <w:pPr>
      <w:tabs>
        <w:tab w:val="left" w:pos="1008"/>
      </w:tabs>
      <w:ind w:left="993"/>
      <w:jc w:val="both"/>
    </w:pPr>
    <w:rPr>
      <w:rFonts w:ascii="Switzerland" w:hAnsi="Switzerland"/>
      <w:sz w:val="23"/>
    </w:rPr>
  </w:style>
  <w:style w:type="paragraph" w:customStyle="1" w:styleId="Sangra2detindependiente1">
    <w:name w:val="Sangría 2 de t. independiente1"/>
    <w:basedOn w:val="Normal"/>
    <w:rsid w:val="00DF5368"/>
    <w:pPr>
      <w:ind w:left="993"/>
      <w:jc w:val="both"/>
    </w:pPr>
    <w:rPr>
      <w:rFonts w:ascii="Arial" w:hAnsi="Arial"/>
      <w:sz w:val="22"/>
    </w:rPr>
  </w:style>
  <w:style w:type="paragraph" w:customStyle="1" w:styleId="Sangra3detindependiente1">
    <w:name w:val="Sangría 3 de t. independiente1"/>
    <w:basedOn w:val="Normal"/>
    <w:rsid w:val="00DF5368"/>
    <w:pPr>
      <w:ind w:left="993"/>
    </w:pPr>
    <w:rPr>
      <w:rFonts w:ascii="Arial" w:hAnsi="Arial"/>
      <w:sz w:val="22"/>
    </w:rPr>
  </w:style>
  <w:style w:type="paragraph" w:styleId="Ttulo">
    <w:name w:val="Title"/>
    <w:basedOn w:val="Normal"/>
    <w:link w:val="TtuloCar"/>
    <w:qFormat/>
    <w:rsid w:val="001D74D5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1D74D5"/>
    <w:rPr>
      <w:rFonts w:ascii="Arial" w:hAnsi="Arial"/>
      <w:b/>
      <w:sz w:val="24"/>
      <w:u w:val="single"/>
      <w:lang w:val="es-ES_tradnl" w:eastAsia="es-ES"/>
    </w:rPr>
  </w:style>
  <w:style w:type="character" w:styleId="Refdecomentario">
    <w:name w:val="annotation reference"/>
    <w:basedOn w:val="Fuentedeprrafopredeter"/>
    <w:rsid w:val="001D74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74D5"/>
    <w:pPr>
      <w:overflowPunct/>
      <w:autoSpaceDE/>
      <w:autoSpaceDN/>
      <w:adjustRightInd/>
      <w:textAlignment w:val="auto"/>
    </w:pPr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rsid w:val="001D74D5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4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4D5"/>
    <w:rPr>
      <w:rFonts w:ascii="Tahoma" w:hAnsi="Tahoma" w:cs="Tahoma"/>
      <w:sz w:val="16"/>
      <w:szCs w:val="1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CE9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CE9"/>
    <w:rPr>
      <w:b/>
      <w:bCs/>
      <w:lang w:val="es-ES_tradnl"/>
    </w:rPr>
  </w:style>
  <w:style w:type="paragraph" w:styleId="Prrafodelista">
    <w:name w:val="List Paragraph"/>
    <w:basedOn w:val="Normal"/>
    <w:uiPriority w:val="34"/>
    <w:qFormat/>
    <w:rsid w:val="0006407F"/>
    <w:pPr>
      <w:ind w:left="720"/>
      <w:contextualSpacing/>
    </w:pPr>
  </w:style>
  <w:style w:type="paragraph" w:customStyle="1" w:styleId="Default">
    <w:name w:val="Default"/>
    <w:rsid w:val="00947B56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s-UY" w:eastAsia="en-US"/>
    </w:rPr>
  </w:style>
  <w:style w:type="paragraph" w:styleId="Textoindependiente">
    <w:name w:val="Body Text"/>
    <w:basedOn w:val="Normal"/>
    <w:link w:val="TextoindependienteCar"/>
    <w:semiHidden/>
    <w:rsid w:val="000031A6"/>
    <w:pPr>
      <w:overflowPunct/>
      <w:autoSpaceDE/>
      <w:autoSpaceDN/>
      <w:adjustRightInd/>
      <w:spacing w:after="120"/>
      <w:textAlignment w:val="auto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0595-A2E1-4979-A09B-E4F2DAB5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1047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DGA-UDELAR</vt:lpstr>
    </vt:vector>
  </TitlesOfParts>
  <Company>Dark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DGA-UDELAR</dc:title>
  <dc:creator>DGA-ASESORES ELECTRICA</dc:creator>
  <cp:lastModifiedBy>Usuario de Windows</cp:lastModifiedBy>
  <cp:revision>10</cp:revision>
  <cp:lastPrinted>2018-05-03T18:32:00Z</cp:lastPrinted>
  <dcterms:created xsi:type="dcterms:W3CDTF">2018-05-04T19:15:00Z</dcterms:created>
  <dcterms:modified xsi:type="dcterms:W3CDTF">2018-05-07T19:59:00Z</dcterms:modified>
</cp:coreProperties>
</file>