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93" w:rsidRPr="00DD7C93" w:rsidRDefault="00DD7C93" w:rsidP="00DD7C93">
      <w:pPr>
        <w:spacing w:after="151"/>
        <w:ind w:left="355" w:hanging="370"/>
        <w:jc w:val="center"/>
        <w:rPr>
          <w:b/>
        </w:rPr>
      </w:pPr>
      <w:r w:rsidRPr="00DD7C93">
        <w:rPr>
          <w:b/>
        </w:rPr>
        <w:t>Información Adicional al Pliego “Adquisición de Radares para el Litoral del País”</w:t>
      </w:r>
    </w:p>
    <w:p w:rsidR="00DD7C93" w:rsidRDefault="00DD7C93" w:rsidP="00B9578C">
      <w:pPr>
        <w:spacing w:after="151"/>
        <w:ind w:left="355" w:hanging="370"/>
        <w:jc w:val="both"/>
      </w:pPr>
    </w:p>
    <w:p w:rsidR="00DD7C93" w:rsidRDefault="00B9578C" w:rsidP="00F269C0">
      <w:pPr>
        <w:pStyle w:val="Prrafodelista"/>
        <w:numPr>
          <w:ilvl w:val="0"/>
          <w:numId w:val="1"/>
        </w:numPr>
        <w:spacing w:after="151"/>
        <w:jc w:val="both"/>
      </w:pPr>
      <w:r>
        <w:t>Se evaluará que todo el equipamiento y sistema cumpla los estándares internacionales (en particul</w:t>
      </w:r>
      <w:r w:rsidR="00DD7C93">
        <w:t>ar con la recomendación IALA 1111</w:t>
      </w:r>
      <w:r>
        <w:t>). Se deberá presentar una tabla comparativa entre las capacidades del equipamiento propuesto y lo establecido en la normativa de referencia,</w:t>
      </w:r>
      <w:r w:rsidR="00DD7C93">
        <w:t xml:space="preserve"> a los efectos de su evaluación tomando como referencia </w:t>
      </w:r>
      <w:r>
        <w:t>el tráfico en el Canal Martín García (aproximadam</w:t>
      </w:r>
      <w:r w:rsidR="00DD7C93">
        <w:t>ente 5000 buques SOLAS por año).</w:t>
      </w:r>
    </w:p>
    <w:p w:rsidR="00B9578C" w:rsidRDefault="00B9578C" w:rsidP="001431AC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DD7C93">
        <w:t xml:space="preserve">equipamiento </w:t>
      </w:r>
      <w:r>
        <w:t xml:space="preserve">deberá permitir su escalabilidad, de forma de </w:t>
      </w:r>
      <w:r w:rsidR="00DD7C93">
        <w:t xml:space="preserve">poder ser </w:t>
      </w:r>
      <w:r>
        <w:t>incor</w:t>
      </w:r>
      <w:r w:rsidR="00DD7C93">
        <w:t>porado a un futuro Sistema VTS</w:t>
      </w:r>
      <w:r>
        <w:t xml:space="preserve">. Las condiciones y limitaciones de escalabilidad por sensores, deberán ser especificadas por la empresa. </w:t>
      </w:r>
    </w:p>
    <w:p w:rsidR="00B34374" w:rsidRDefault="00B34374" w:rsidP="00DD7C93">
      <w:pPr>
        <w:pStyle w:val="Prrafodelista"/>
        <w:numPr>
          <w:ilvl w:val="0"/>
          <w:numId w:val="1"/>
        </w:numPr>
        <w:jc w:val="both"/>
      </w:pPr>
      <w:r>
        <w:t xml:space="preserve">Se deberá especificar la posibilidad de que el sistema contemple enlaces redundantes en caso de caída del enlace principal, así como la encriptación de datos. </w:t>
      </w:r>
    </w:p>
    <w:p w:rsidR="00A14157" w:rsidRDefault="00B34374" w:rsidP="00DD7C93">
      <w:pPr>
        <w:pStyle w:val="Prrafodelista"/>
        <w:numPr>
          <w:ilvl w:val="0"/>
          <w:numId w:val="1"/>
        </w:numPr>
      </w:pPr>
      <w:r>
        <w:t>Se valorará la estandarización de los modelos ofertados de radares a efectos de simplifi</w:t>
      </w:r>
      <w:r w:rsidR="003F30F2">
        <w:t>car su sostenimiento logístico.</w:t>
      </w:r>
    </w:p>
    <w:p w:rsidR="00B34374" w:rsidRDefault="00F34114" w:rsidP="00DD7C93">
      <w:pPr>
        <w:pStyle w:val="Prrafodelista"/>
        <w:numPr>
          <w:ilvl w:val="0"/>
          <w:numId w:val="1"/>
        </w:numPr>
        <w:jc w:val="both"/>
      </w:pPr>
      <w:r>
        <w:t>Para el tipo de radar ofertado</w:t>
      </w:r>
      <w:r w:rsidR="00B34374">
        <w:t xml:space="preserve"> (SSPA y MAGENTRÓN), el oferente debe especificar la capacidad alcanzada por el sensor con referencia a la normativa IALA </w:t>
      </w:r>
      <w:r w:rsidR="00AB1B92">
        <w:t>1111</w:t>
      </w:r>
      <w:r>
        <w:t xml:space="preserve"> Nivel AVANZADO</w:t>
      </w:r>
      <w:bookmarkStart w:id="0" w:name="_GoBack"/>
      <w:bookmarkEnd w:id="0"/>
      <w:r w:rsidR="00B34374">
        <w:t xml:space="preserve">. </w:t>
      </w:r>
    </w:p>
    <w:p w:rsidR="00B34374" w:rsidRDefault="00B34374" w:rsidP="00DD7C93">
      <w:pPr>
        <w:pStyle w:val="Prrafodelista"/>
        <w:numPr>
          <w:ilvl w:val="0"/>
          <w:numId w:val="1"/>
        </w:numPr>
        <w:jc w:val="both"/>
      </w:pPr>
      <w:r>
        <w:t xml:space="preserve">Deberá poderse integrar cartografía S-57 y S-63, teniendo la posibilidad la Armada Nacional de incorporar dicha cartografía toda vez que requiera actualizaciones. </w:t>
      </w:r>
    </w:p>
    <w:p w:rsidR="00B34374" w:rsidRDefault="00B34374" w:rsidP="00DD7C93">
      <w:pPr>
        <w:pStyle w:val="Prrafodelista"/>
        <w:numPr>
          <w:ilvl w:val="0"/>
          <w:numId w:val="1"/>
        </w:numPr>
        <w:jc w:val="both"/>
      </w:pPr>
      <w:r>
        <w:t xml:space="preserve">La empresa oferente deberá presentar un resumen y descripción de las funcionalidades de la totalidad del software de control, las posibilidades que brindan los distintos niveles de usuario. </w:t>
      </w:r>
    </w:p>
    <w:p w:rsidR="00B34374" w:rsidRDefault="00B34374" w:rsidP="00DD7C93">
      <w:pPr>
        <w:pStyle w:val="Prrafodelista"/>
        <w:numPr>
          <w:ilvl w:val="0"/>
          <w:numId w:val="1"/>
        </w:numPr>
        <w:jc w:val="both"/>
      </w:pPr>
      <w:r>
        <w:t xml:space="preserve">Deberá detallarse las capacidades de grabación del sistema para poder visualizar acciones acontecidas como mínimo 30 días antes. Deberá detallarse la información que es posible grabar y efectuar su dimensionamiento acorde a lo establecido en las normas de referencia. </w:t>
      </w:r>
    </w:p>
    <w:p w:rsidR="00B34374" w:rsidRDefault="00B34374" w:rsidP="00DD7C93">
      <w:pPr>
        <w:pStyle w:val="Prrafodelista"/>
        <w:numPr>
          <w:ilvl w:val="0"/>
          <w:numId w:val="1"/>
        </w:numPr>
        <w:jc w:val="both"/>
      </w:pPr>
      <w:r>
        <w:t xml:space="preserve">El sistema deberá tener la capacidad de reproducir y extraer en un formato legible para sistema operativo Windows datos de los sensores (radares, </w:t>
      </w:r>
      <w:proofErr w:type="spellStart"/>
      <w:r>
        <w:t>ais</w:t>
      </w:r>
      <w:proofErr w:type="spellEnd"/>
      <w:r>
        <w:t xml:space="preserve">, cámaras, meteorológicos y comunicaciones) así como datos de información del buque o estadísticas de tráfico. </w:t>
      </w:r>
    </w:p>
    <w:p w:rsidR="00B34374" w:rsidRDefault="00B34374"/>
    <w:p w:rsidR="00B34374" w:rsidRDefault="00B34374"/>
    <w:p w:rsidR="00B34374" w:rsidRDefault="00B34374"/>
    <w:sectPr w:rsidR="00B34374" w:rsidSect="00875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77C5"/>
    <w:multiLevelType w:val="hybridMultilevel"/>
    <w:tmpl w:val="185A882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78C"/>
    <w:rsid w:val="001B3E88"/>
    <w:rsid w:val="003F30F2"/>
    <w:rsid w:val="0087557B"/>
    <w:rsid w:val="00932253"/>
    <w:rsid w:val="00991931"/>
    <w:rsid w:val="00A14157"/>
    <w:rsid w:val="00AB1B92"/>
    <w:rsid w:val="00B34374"/>
    <w:rsid w:val="00B9578C"/>
    <w:rsid w:val="00DD7C93"/>
    <w:rsid w:val="00F3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8C"/>
    <w:pPr>
      <w:suppressAutoHyphens/>
      <w:spacing w:after="200" w:line="276" w:lineRule="auto"/>
    </w:pPr>
    <w:rPr>
      <w:rFonts w:ascii="Calibri" w:eastAsia="Calibri" w:hAnsi="Calibri" w:cs="Arial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UCCAR35</cp:lastModifiedBy>
  <cp:revision>2</cp:revision>
  <dcterms:created xsi:type="dcterms:W3CDTF">2018-09-28T16:53:00Z</dcterms:created>
  <dcterms:modified xsi:type="dcterms:W3CDTF">2018-09-28T16:53:00Z</dcterms:modified>
</cp:coreProperties>
</file>