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6" w:rsidRDefault="00DC1A16" w:rsidP="00DC1A16">
      <w:pPr>
        <w:pStyle w:val="Ttulo1"/>
        <w:spacing w:after="156"/>
        <w:ind w:left="0" w:right="0" w:firstLine="0"/>
        <w:jc w:val="left"/>
        <w:rPr>
          <w:rFonts w:ascii="Calibri" w:eastAsia="Times New Roman" w:hAnsi="Calibri"/>
          <w:b w:val="0"/>
          <w:bCs w:val="0"/>
          <w:color w:val="auto"/>
          <w:sz w:val="22"/>
          <w:szCs w:val="22"/>
          <w:lang w:eastAsia="en-US"/>
        </w:rPr>
      </w:pPr>
      <w:r>
        <w:rPr>
          <w:rFonts w:eastAsia="Times New Roman"/>
        </w:rPr>
        <w:t>Antecedentes</w:t>
      </w:r>
    </w:p>
    <w:p w:rsidR="00DC1A16" w:rsidRDefault="00DC1A16" w:rsidP="00DC1A16">
      <w:r>
        <w:t xml:space="preserve">Los oferentes deberán presentar antecedentes de trabajos similares y una antigüedad en el rubro de 5 años. </w:t>
      </w:r>
    </w:p>
    <w:p w:rsidR="00DC1A16" w:rsidRDefault="00DC1A16" w:rsidP="00DC1A16">
      <w:r>
        <w:t>La empresa deberá contar con 5 años de trabajo en la misma marca y certificación del fabricante para trabajar con la marca.</w:t>
      </w:r>
    </w:p>
    <w:p w:rsidR="00DC1A16" w:rsidRDefault="00DC1A16" w:rsidP="00DC1A16">
      <w:pPr>
        <w:pStyle w:val="Ttulo1"/>
        <w:spacing w:after="156"/>
        <w:ind w:left="0" w:right="0" w:firstLine="0"/>
        <w:jc w:val="left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Introducción </w:t>
      </w:r>
    </w:p>
    <w:p w:rsidR="00DC1A16" w:rsidRDefault="00DC1A16" w:rsidP="00DC1A16">
      <w:pPr>
        <w:numPr>
          <w:ilvl w:val="0"/>
          <w:numId w:val="1"/>
        </w:numPr>
        <w:spacing w:after="4"/>
        <w:ind w:right="987" w:hanging="329"/>
        <w:jc w:val="both"/>
      </w:pPr>
      <w:r>
        <w:rPr>
          <w:sz w:val="17"/>
          <w:szCs w:val="17"/>
        </w:rPr>
        <w:t>Instalación de</w:t>
      </w:r>
      <w:r>
        <w:rPr>
          <w:b/>
          <w:bCs/>
        </w:rPr>
        <w:t xml:space="preserve"> 100 puestos de datos  en dependencias de Corte Electoral en Montevideo o Interior</w:t>
      </w:r>
    </w:p>
    <w:p w:rsidR="00DC1A16" w:rsidRDefault="00DC1A16" w:rsidP="00DC1A16">
      <w:pPr>
        <w:numPr>
          <w:ilvl w:val="0"/>
          <w:numId w:val="1"/>
        </w:numPr>
        <w:spacing w:after="4"/>
        <w:ind w:right="987" w:hanging="329"/>
        <w:jc w:val="both"/>
      </w:pPr>
      <w:r>
        <w:rPr>
          <w:sz w:val="17"/>
          <w:szCs w:val="17"/>
        </w:rPr>
        <w:t>Entrada de Servicios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para</w:t>
      </w:r>
      <w:r>
        <w:rPr>
          <w:b/>
          <w:bCs/>
        </w:rPr>
        <w:t xml:space="preserve"> </w:t>
      </w:r>
      <w:r>
        <w:t xml:space="preserve">líneas de </w:t>
      </w:r>
      <w:proofErr w:type="spellStart"/>
      <w:r>
        <w:rPr>
          <w:b/>
          <w:bCs/>
        </w:rPr>
        <w:t>Antel</w:t>
      </w:r>
      <w:proofErr w:type="spellEnd"/>
      <w:r>
        <w:rPr>
          <w:b/>
          <w:bCs/>
        </w:rPr>
        <w:t xml:space="preserve"> </w:t>
      </w:r>
      <w:r>
        <w:t xml:space="preserve">hasta el rack </w:t>
      </w:r>
    </w:p>
    <w:p w:rsidR="00DC1A16" w:rsidRDefault="00DC1A16" w:rsidP="00DC1A16">
      <w:pPr>
        <w:spacing w:line="252" w:lineRule="auto"/>
      </w:pPr>
    </w:p>
    <w:p w:rsidR="00DC1A16" w:rsidRDefault="00DC1A16" w:rsidP="00DC1A16">
      <w:pPr>
        <w:spacing w:after="29" w:line="252" w:lineRule="auto"/>
        <w:ind w:right="907"/>
      </w:pPr>
      <w:r>
        <w:rPr>
          <w:b/>
          <w:bCs/>
        </w:rPr>
        <w:t xml:space="preserve">Ubicación de puestos </w:t>
      </w:r>
    </w:p>
    <w:p w:rsidR="00DC1A16" w:rsidRDefault="00DC1A16" w:rsidP="00DC1A16">
      <w:pPr>
        <w:spacing w:after="89"/>
        <w:ind w:left="662" w:right="987"/>
      </w:pPr>
      <w:r>
        <w:t>  </w:t>
      </w:r>
    </w:p>
    <w:p w:rsidR="00DC1A16" w:rsidRDefault="00DC1A16" w:rsidP="00DC1A16">
      <w:pPr>
        <w:pStyle w:val="Ttulo1"/>
        <w:spacing w:after="111"/>
        <w:ind w:left="0" w:right="0" w:firstLine="0"/>
        <w:jc w:val="left"/>
        <w:rPr>
          <w:rFonts w:eastAsia="Times New Roman"/>
        </w:rPr>
      </w:pPr>
      <w:r>
        <w:rPr>
          <w:rFonts w:eastAsia="Times New Roman"/>
          <w:sz w:val="18"/>
          <w:szCs w:val="18"/>
        </w:rPr>
        <w:t xml:space="preserve"> -  </w:t>
      </w:r>
      <w:r>
        <w:rPr>
          <w:rFonts w:eastAsia="Times New Roman"/>
          <w:sz w:val="26"/>
          <w:szCs w:val="26"/>
        </w:rPr>
        <w:t xml:space="preserve">Red de datos </w:t>
      </w:r>
    </w:p>
    <w:p w:rsidR="00DC1A16" w:rsidRDefault="00DC1A16" w:rsidP="00DC1A16">
      <w:pPr>
        <w:ind w:left="662" w:right="987"/>
      </w:pPr>
      <w:r>
        <w:t xml:space="preserve">Los puestos deben integrase al segmento de red Ethernet, por tendido de cable UTP. El cableado de datos a realizarse debe seguir las normas EIA/TIA 568 y debe ser certificado al menos para CATEGORIA 6 o superior, Mono-marca, lo cual implica que todos los implementos utilizados (cables, conectores, </w:t>
      </w:r>
      <w:proofErr w:type="spellStart"/>
      <w:r>
        <w:t>mounting</w:t>
      </w:r>
      <w:proofErr w:type="spellEnd"/>
      <w:r>
        <w:t xml:space="preserve">, </w:t>
      </w:r>
      <w:proofErr w:type="spellStart"/>
      <w:r>
        <w:t>patchcord</w:t>
      </w:r>
      <w:proofErr w:type="spellEnd"/>
      <w:r>
        <w:t xml:space="preserve">, etc.) deben cumplir estos requerimientos.  </w:t>
      </w:r>
    </w:p>
    <w:p w:rsidR="00DC1A16" w:rsidRDefault="00DC1A16" w:rsidP="00DC1A16">
      <w:pPr>
        <w:spacing w:after="296"/>
        <w:ind w:left="662" w:right="987"/>
        <w:rPr>
          <w:b/>
          <w:bCs/>
        </w:rPr>
      </w:pPr>
      <w:r>
        <w:t xml:space="preserve">Se distribuirán todos los puestos designados a la </w:t>
      </w:r>
      <w:proofErr w:type="spellStart"/>
      <w:r>
        <w:rPr>
          <w:b/>
          <w:bCs/>
        </w:rPr>
        <w:t>Patchera</w:t>
      </w:r>
      <w:proofErr w:type="spellEnd"/>
      <w:r>
        <w:rPr>
          <w:b/>
          <w:bCs/>
        </w:rPr>
        <w:t xml:space="preserve"> A, B y sucesivas</w:t>
      </w:r>
    </w:p>
    <w:p w:rsidR="00DC1A16" w:rsidRDefault="00DC1A16" w:rsidP="00DC1A16">
      <w:pPr>
        <w:spacing w:after="296"/>
        <w:ind w:left="662" w:right="987"/>
      </w:pPr>
      <w:r>
        <w:t xml:space="preserve">Se suministrará por cada </w:t>
      </w:r>
      <w:proofErr w:type="spellStart"/>
      <w:r>
        <w:t>patchera</w:t>
      </w:r>
      <w:proofErr w:type="spellEnd"/>
      <w:r>
        <w:t xml:space="preserve"> un organizador </w:t>
      </w:r>
      <w:r>
        <w:rPr>
          <w:b/>
          <w:bCs/>
        </w:rPr>
        <w:t> </w:t>
      </w:r>
    </w:p>
    <w:p w:rsidR="00DC1A16" w:rsidRDefault="00DC1A16" w:rsidP="00DC1A16">
      <w:pPr>
        <w:ind w:left="662" w:right="987"/>
      </w:pPr>
      <w:r>
        <w:t xml:space="preserve">Todos los materiales a utilizar serán Mono-marca.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ind w:left="662" w:right="987"/>
      </w:pPr>
      <w:r>
        <w:t xml:space="preserve">La empresa deberá presentar la documentación de los instaladores y el encargado de la obra en donde conste la certificación del mismo como instalador de los materiales (Marca) a emplear. </w:t>
      </w:r>
    </w:p>
    <w:p w:rsidR="00DC1A16" w:rsidRDefault="00DC1A16" w:rsidP="00DC1A16">
      <w:pPr>
        <w:ind w:left="662" w:right="987"/>
      </w:pPr>
      <w:r>
        <w:t>El personal deberá figurar en planilla de trabajo de la empresa oferente.</w:t>
      </w:r>
    </w:p>
    <w:p w:rsidR="00DC1A16" w:rsidRDefault="00DC1A16" w:rsidP="00DC1A16">
      <w:pPr>
        <w:ind w:left="662" w:right="987"/>
      </w:pPr>
    </w:p>
    <w:p w:rsidR="00DC1A16" w:rsidRDefault="00DC1A16" w:rsidP="00DC1A16">
      <w:pPr>
        <w:spacing w:line="252" w:lineRule="auto"/>
        <w:ind w:left="667"/>
      </w:pPr>
    </w:p>
    <w:p w:rsidR="00DC1A16" w:rsidRDefault="00DC1A16" w:rsidP="00DC1A16">
      <w:pPr>
        <w:numPr>
          <w:ilvl w:val="0"/>
          <w:numId w:val="2"/>
        </w:numPr>
        <w:spacing w:after="4" w:line="252" w:lineRule="auto"/>
        <w:ind w:right="907" w:hanging="158"/>
      </w:pPr>
      <w:r>
        <w:rPr>
          <w:b/>
          <w:bCs/>
        </w:rPr>
        <w:t>Punto de distribución</w:t>
      </w:r>
      <w:r>
        <w:t xml:space="preserve">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spacing w:after="1"/>
        <w:ind w:right="1148" w:firstLine="708"/>
      </w:pPr>
      <w:r>
        <w:rPr>
          <w:sz w:val="19"/>
          <w:szCs w:val="19"/>
        </w:rPr>
        <w:t>Son existentes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spacing w:line="252" w:lineRule="auto"/>
      </w:pPr>
      <w:r>
        <w:rPr>
          <w:b/>
          <w:bCs/>
        </w:rPr>
        <w:t> </w:t>
      </w:r>
    </w:p>
    <w:p w:rsidR="00DC1A16" w:rsidRDefault="00DC1A16" w:rsidP="00DC1A16">
      <w:pPr>
        <w:numPr>
          <w:ilvl w:val="0"/>
          <w:numId w:val="2"/>
        </w:numPr>
        <w:spacing w:after="4" w:line="252" w:lineRule="auto"/>
        <w:ind w:right="907" w:hanging="158"/>
      </w:pPr>
      <w:r>
        <w:rPr>
          <w:b/>
          <w:bCs/>
        </w:rPr>
        <w:t xml:space="preserve">Cableado de datos 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ind w:left="662" w:right="987"/>
      </w:pPr>
      <w:r>
        <w:t>Se instalarán los puestos en dependencias de la Corte en la cuidad de Montevideo y/o Interior  </w:t>
      </w:r>
    </w:p>
    <w:p w:rsidR="00DC1A16" w:rsidRDefault="00DC1A16" w:rsidP="00DC1A16">
      <w:pPr>
        <w:ind w:left="662" w:right="987"/>
      </w:pPr>
      <w:r>
        <w:t xml:space="preserve"> El cableado de datos se realizará siguiendo el diseño estructurado con cable UTP categoría 6 (4 pares trenzados). Se cablearán las bocas de salida de los elementos activos hasta la </w:t>
      </w:r>
      <w:proofErr w:type="spellStart"/>
      <w:r>
        <w:t>patchera</w:t>
      </w:r>
      <w:proofErr w:type="spellEnd"/>
      <w:r>
        <w:t xml:space="preserve">, desde ésta hasta la ubicación de los puestos, donde se ubicará un toma RJ45 categoría 6 adecuadamente fijado que deberá ser ubicado convenientemente a efectos de la conexión del puesto. 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ind w:left="662" w:right="987"/>
      </w:pPr>
      <w:r>
        <w:lastRenderedPageBreak/>
        <w:t xml:space="preserve">La norma de conexionado a seguir será </w:t>
      </w:r>
      <w:r>
        <w:rPr>
          <w:b/>
          <w:bCs/>
        </w:rPr>
        <w:t>EIA/TIA 568b</w:t>
      </w:r>
      <w:r>
        <w:t xml:space="preserve">. Todos los cables y conexiones deberán ser perfectamente identificados cumpliendo la norma EIA/TIA 606. 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ind w:left="662" w:right="987"/>
      </w:pPr>
      <w:r>
        <w:t xml:space="preserve">Adicionalmente se deberá dejar 1 metro de cable UTP convenientemente arrollado detrás de la </w:t>
      </w:r>
      <w:proofErr w:type="spellStart"/>
      <w:r>
        <w:t>patchera</w:t>
      </w:r>
      <w:proofErr w:type="spellEnd"/>
      <w:r>
        <w:t xml:space="preserve"> correspondiente y en el extremo de cada puesto nuevo, siempre que esto sea posible.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ind w:left="662" w:right="987"/>
      </w:pPr>
      <w:r>
        <w:t xml:space="preserve">La empresa deberá encargarse de reparar todos los daños en techos y paredes al realizar pases sobre las mismas. </w:t>
      </w:r>
    </w:p>
    <w:p w:rsidR="00DC1A16" w:rsidRDefault="00DC1A16" w:rsidP="00DC1A16">
      <w:pPr>
        <w:spacing w:line="252" w:lineRule="auto"/>
      </w:pPr>
      <w:r>
        <w:rPr>
          <w:b/>
          <w:bCs/>
        </w:rPr>
        <w:t> </w:t>
      </w:r>
    </w:p>
    <w:p w:rsidR="00DC1A16" w:rsidRDefault="00DC1A16" w:rsidP="00DC1A16">
      <w:pPr>
        <w:spacing w:line="252" w:lineRule="auto"/>
      </w:pPr>
      <w:r>
        <w:rPr>
          <w:b/>
          <w:bCs/>
        </w:rPr>
        <w:t> </w:t>
      </w:r>
    </w:p>
    <w:p w:rsidR="00DC1A16" w:rsidRDefault="00DC1A16" w:rsidP="00DC1A16">
      <w:pPr>
        <w:numPr>
          <w:ilvl w:val="0"/>
          <w:numId w:val="3"/>
        </w:numPr>
        <w:spacing w:line="252" w:lineRule="auto"/>
        <w:ind w:right="907" w:hanging="158"/>
      </w:pPr>
      <w:r>
        <w:rPr>
          <w:b/>
          <w:bCs/>
          <w:u w:val="single"/>
        </w:rPr>
        <w:t>Ductos o canalizaciones.</w:t>
      </w:r>
      <w:r>
        <w:rPr>
          <w:b/>
          <w:bCs/>
        </w:rPr>
        <w:t xml:space="preserve"> </w:t>
      </w:r>
    </w:p>
    <w:p w:rsidR="00DC1A16" w:rsidRDefault="00DC1A16" w:rsidP="00DC1A16">
      <w:pPr>
        <w:spacing w:line="252" w:lineRule="auto"/>
      </w:pPr>
      <w:r>
        <w:t>Se deben de considerar dos tipos de canalizaciones, uno de ramal principal con tapa y otro de distribución de puestos de red.</w:t>
      </w:r>
    </w:p>
    <w:p w:rsidR="00DC1A16" w:rsidRDefault="00DC1A16" w:rsidP="00DC1A16">
      <w:pPr>
        <w:spacing w:line="252" w:lineRule="auto"/>
      </w:pPr>
      <w:r>
        <w:t>Los tamaños deben ser considerando un crecimiento de un 30% de los puestos.</w:t>
      </w:r>
    </w:p>
    <w:p w:rsidR="00DC1A16" w:rsidRDefault="00DC1A16" w:rsidP="00DC1A16">
      <w:pPr>
        <w:spacing w:line="252" w:lineRule="auto"/>
      </w:pPr>
    </w:p>
    <w:p w:rsidR="00DC1A16" w:rsidRDefault="00DC1A16" w:rsidP="00DC1A16">
      <w:pPr>
        <w:spacing w:line="252" w:lineRule="auto"/>
      </w:pPr>
    </w:p>
    <w:p w:rsidR="00DC1A16" w:rsidRDefault="00DC1A16" w:rsidP="00DC1A16">
      <w:pPr>
        <w:numPr>
          <w:ilvl w:val="0"/>
          <w:numId w:val="3"/>
        </w:numPr>
        <w:spacing w:after="4" w:line="252" w:lineRule="auto"/>
        <w:ind w:right="907" w:hanging="158"/>
      </w:pPr>
      <w:proofErr w:type="spellStart"/>
      <w:r>
        <w:rPr>
          <w:b/>
          <w:bCs/>
        </w:rPr>
        <w:t>Patchera</w:t>
      </w:r>
      <w:proofErr w:type="spellEnd"/>
      <w:r>
        <w:rPr>
          <w:b/>
          <w:bCs/>
        </w:rPr>
        <w:t xml:space="preserve">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ind w:left="662" w:right="987"/>
      </w:pPr>
      <w:r>
        <w:t xml:space="preserve"> La empresa deberá suministrar </w:t>
      </w:r>
      <w:r>
        <w:rPr>
          <w:b/>
          <w:bCs/>
        </w:rPr>
        <w:t> </w:t>
      </w:r>
      <w:proofErr w:type="spellStart"/>
      <w:r>
        <w:rPr>
          <w:b/>
          <w:bCs/>
        </w:rPr>
        <w:t>patcheras</w:t>
      </w:r>
      <w:proofErr w:type="spellEnd"/>
      <w:r>
        <w:rPr>
          <w:b/>
          <w:bCs/>
        </w:rPr>
        <w:t xml:space="preserve"> categoría 6 o superior</w:t>
      </w:r>
      <w:r>
        <w:t xml:space="preserve">, la misma deberá ser </w:t>
      </w:r>
      <w:proofErr w:type="spellStart"/>
      <w:r>
        <w:t>rackeable</w:t>
      </w:r>
      <w:proofErr w:type="spellEnd"/>
      <w:r>
        <w:t xml:space="preserve"> a 19” y de 24 puertos.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numPr>
          <w:ilvl w:val="0"/>
          <w:numId w:val="3"/>
        </w:numPr>
        <w:spacing w:after="4" w:line="252" w:lineRule="auto"/>
        <w:ind w:right="907" w:hanging="158"/>
      </w:pPr>
      <w:r>
        <w:rPr>
          <w:b/>
          <w:bCs/>
        </w:rPr>
        <w:t xml:space="preserve">Bandeja Metálica </w:t>
      </w:r>
    </w:p>
    <w:p w:rsidR="00DC1A16" w:rsidRDefault="00DC1A16" w:rsidP="00DC1A16">
      <w:pPr>
        <w:spacing w:line="252" w:lineRule="auto"/>
        <w:ind w:left="667"/>
      </w:pPr>
      <w:r>
        <w:rPr>
          <w:sz w:val="19"/>
          <w:szCs w:val="19"/>
        </w:rPr>
        <w:t> </w:t>
      </w:r>
    </w:p>
    <w:p w:rsidR="00DC1A16" w:rsidRDefault="00DC1A16" w:rsidP="00DC1A16">
      <w:pPr>
        <w:ind w:left="662" w:right="984"/>
      </w:pPr>
      <w:r>
        <w:rPr>
          <w:sz w:val="19"/>
          <w:szCs w:val="19"/>
        </w:rPr>
        <w:t xml:space="preserve">Se suministrara por parte de la empresa </w:t>
      </w:r>
      <w:r>
        <w:rPr>
          <w:b/>
          <w:bCs/>
          <w:sz w:val="19"/>
          <w:szCs w:val="19"/>
        </w:rPr>
        <w:t xml:space="preserve">2 bandejas metálica, </w:t>
      </w:r>
      <w:proofErr w:type="spellStart"/>
      <w:r>
        <w:rPr>
          <w:b/>
          <w:bCs/>
          <w:sz w:val="19"/>
          <w:szCs w:val="19"/>
        </w:rPr>
        <w:t>rackeable</w:t>
      </w:r>
      <w:proofErr w:type="spellEnd"/>
      <w:r>
        <w:rPr>
          <w:b/>
          <w:bCs/>
          <w:sz w:val="19"/>
          <w:szCs w:val="19"/>
        </w:rPr>
        <w:t xml:space="preserve"> 19</w:t>
      </w:r>
      <w:r>
        <w:rPr>
          <w:sz w:val="19"/>
          <w:szCs w:val="19"/>
        </w:rPr>
        <w:t xml:space="preserve">”, con una profundidad no mayor a 30 cm., que servirá para contener el MODEM de los servicios de </w:t>
      </w:r>
      <w:proofErr w:type="spellStart"/>
      <w:r>
        <w:rPr>
          <w:sz w:val="19"/>
          <w:szCs w:val="19"/>
        </w:rPr>
        <w:t>Antel</w:t>
      </w:r>
      <w:proofErr w:type="spellEnd"/>
      <w:r>
        <w:rPr>
          <w:sz w:val="19"/>
          <w:szCs w:val="19"/>
        </w:rPr>
        <w:t xml:space="preserve"> y </w:t>
      </w:r>
      <w:proofErr w:type="spellStart"/>
      <w:r>
        <w:rPr>
          <w:sz w:val="19"/>
          <w:szCs w:val="19"/>
        </w:rPr>
        <w:t>Router</w:t>
      </w:r>
      <w:proofErr w:type="spellEnd"/>
      <w:r>
        <w:rPr>
          <w:sz w:val="19"/>
          <w:szCs w:val="19"/>
        </w:rPr>
        <w:t xml:space="preserve">  </w:t>
      </w:r>
    </w:p>
    <w:p w:rsidR="00DC1A16" w:rsidRDefault="00DC1A16" w:rsidP="00DC1A16">
      <w:pPr>
        <w:ind w:left="662" w:right="984"/>
      </w:pPr>
      <w:r>
        <w:rPr>
          <w:sz w:val="19"/>
          <w:szCs w:val="19"/>
        </w:rPr>
        <w:t xml:space="preserve">Las bandejas no podrán ser de más de 1 unidad de </w:t>
      </w:r>
      <w:proofErr w:type="spellStart"/>
      <w:r>
        <w:rPr>
          <w:sz w:val="19"/>
          <w:szCs w:val="19"/>
        </w:rPr>
        <w:t>rackeo</w:t>
      </w:r>
      <w:proofErr w:type="spellEnd"/>
      <w:r>
        <w:rPr>
          <w:sz w:val="19"/>
          <w:szCs w:val="19"/>
        </w:rPr>
        <w:t xml:space="preserve">. </w:t>
      </w:r>
    </w:p>
    <w:p w:rsidR="00DC1A16" w:rsidRDefault="00DC1A16" w:rsidP="00DC1A16">
      <w:pPr>
        <w:spacing w:line="252" w:lineRule="auto"/>
      </w:pPr>
      <w:r>
        <w:rPr>
          <w:b/>
          <w:bCs/>
        </w:rPr>
        <w:t> </w:t>
      </w:r>
    </w:p>
    <w:p w:rsidR="00DC1A16" w:rsidRDefault="00DC1A16" w:rsidP="00DC1A16">
      <w:pPr>
        <w:spacing w:line="252" w:lineRule="auto"/>
      </w:pPr>
      <w:r>
        <w:rPr>
          <w:b/>
          <w:bCs/>
        </w:rPr>
        <w:t> </w:t>
      </w:r>
    </w:p>
    <w:p w:rsidR="00DC1A16" w:rsidRDefault="00DC1A16" w:rsidP="00DC1A16">
      <w:pPr>
        <w:numPr>
          <w:ilvl w:val="0"/>
          <w:numId w:val="3"/>
        </w:numPr>
        <w:spacing w:after="4" w:line="252" w:lineRule="auto"/>
        <w:ind w:right="907" w:hanging="158"/>
      </w:pPr>
      <w:r>
        <w:rPr>
          <w:b/>
          <w:bCs/>
        </w:rPr>
        <w:t xml:space="preserve">Organizadores de </w:t>
      </w:r>
      <w:proofErr w:type="spellStart"/>
      <w:r>
        <w:rPr>
          <w:b/>
          <w:bCs/>
        </w:rPr>
        <w:t>patchcords</w:t>
      </w:r>
      <w:proofErr w:type="spellEnd"/>
      <w:r>
        <w:rPr>
          <w:b/>
          <w:bCs/>
        </w:rPr>
        <w:t xml:space="preserve"> (manejadores) </w:t>
      </w:r>
    </w:p>
    <w:p w:rsidR="00DC1A16" w:rsidRDefault="00DC1A16" w:rsidP="00DC1A16">
      <w:pPr>
        <w:spacing w:line="252" w:lineRule="auto"/>
        <w:ind w:left="1332"/>
      </w:pPr>
      <w:r>
        <w:rPr>
          <w:sz w:val="19"/>
          <w:szCs w:val="19"/>
        </w:rPr>
        <w:t> </w:t>
      </w:r>
    </w:p>
    <w:p w:rsidR="00DC1A16" w:rsidRDefault="00DC1A16" w:rsidP="00DC1A16">
      <w:pPr>
        <w:ind w:left="662" w:right="984"/>
      </w:pPr>
      <w:r>
        <w:rPr>
          <w:sz w:val="19"/>
          <w:szCs w:val="19"/>
        </w:rPr>
        <w:t xml:space="preserve">Se debe proveer por parte de la empresa </w:t>
      </w:r>
      <w:r>
        <w:rPr>
          <w:b/>
          <w:bCs/>
          <w:sz w:val="19"/>
          <w:szCs w:val="19"/>
        </w:rPr>
        <w:t>4 organizadores (de de 1 U</w:t>
      </w:r>
      <w:r>
        <w:rPr>
          <w:sz w:val="19"/>
          <w:szCs w:val="19"/>
        </w:rPr>
        <w:t xml:space="preserve">”) de por lo menos 5 o más cm de altura, de plástico o PVC negro. </w:t>
      </w:r>
    </w:p>
    <w:p w:rsidR="00DC1A16" w:rsidRDefault="00DC1A16" w:rsidP="00DC1A16">
      <w:pPr>
        <w:spacing w:line="252" w:lineRule="auto"/>
      </w:pPr>
      <w:r>
        <w:t> </w:t>
      </w:r>
    </w:p>
    <w:p w:rsidR="00DC1A16" w:rsidRDefault="00DC1A16" w:rsidP="00DC1A16">
      <w:pPr>
        <w:numPr>
          <w:ilvl w:val="0"/>
          <w:numId w:val="3"/>
        </w:numPr>
        <w:spacing w:after="4" w:line="252" w:lineRule="auto"/>
        <w:ind w:right="907" w:hanging="158"/>
      </w:pPr>
      <w:proofErr w:type="spellStart"/>
      <w:r>
        <w:rPr>
          <w:b/>
          <w:bCs/>
        </w:rPr>
        <w:t>Mounting</w:t>
      </w:r>
      <w:proofErr w:type="spellEnd"/>
      <w:r>
        <w:rPr>
          <w:b/>
          <w:bCs/>
        </w:rPr>
        <w:t xml:space="preserve"> box ( </w:t>
      </w:r>
      <w:proofErr w:type="spellStart"/>
      <w:r>
        <w:rPr>
          <w:b/>
          <w:bCs/>
        </w:rPr>
        <w:t>Face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plate</w:t>
      </w:r>
      <w:proofErr w:type="spellEnd"/>
      <w:r>
        <w:rPr>
          <w:b/>
          <w:bCs/>
        </w:rPr>
        <w:t xml:space="preserve"> ) </w:t>
      </w:r>
    </w:p>
    <w:p w:rsidR="00DC1A16" w:rsidRDefault="00DC1A16" w:rsidP="00DC1A16">
      <w:pPr>
        <w:spacing w:line="252" w:lineRule="auto"/>
        <w:ind w:left="338"/>
      </w:pPr>
      <w:r>
        <w:rPr>
          <w:b/>
          <w:bCs/>
        </w:rPr>
        <w:t> </w:t>
      </w:r>
    </w:p>
    <w:p w:rsidR="00DC1A16" w:rsidRDefault="00DC1A16" w:rsidP="00DC1A16">
      <w:pPr>
        <w:ind w:left="662" w:right="984"/>
      </w:pPr>
      <w:r>
        <w:rPr>
          <w:sz w:val="19"/>
          <w:szCs w:val="19"/>
        </w:rPr>
        <w:t xml:space="preserve">Serán suministrados por la empresa instaladora, los mismos no podrán contener más de 2 tomas o </w:t>
      </w:r>
      <w:proofErr w:type="spellStart"/>
      <w:r>
        <w:rPr>
          <w:sz w:val="19"/>
          <w:szCs w:val="19"/>
        </w:rPr>
        <w:t>jacks</w:t>
      </w:r>
      <w:proofErr w:type="spellEnd"/>
      <w:r>
        <w:rPr>
          <w:sz w:val="19"/>
          <w:szCs w:val="19"/>
        </w:rPr>
        <w:t xml:space="preserve"> RJ45 (no se admitirán </w:t>
      </w:r>
      <w:proofErr w:type="spellStart"/>
      <w:r>
        <w:rPr>
          <w:sz w:val="19"/>
          <w:szCs w:val="19"/>
        </w:rPr>
        <w:t>Mounting</w:t>
      </w:r>
      <w:proofErr w:type="spellEnd"/>
      <w:r>
        <w:rPr>
          <w:sz w:val="19"/>
          <w:szCs w:val="19"/>
        </w:rPr>
        <w:t xml:space="preserve"> Box con capacidad para un solo Jack) y debe estar correctamente identificado </w:t>
      </w:r>
    </w:p>
    <w:p w:rsidR="00DC1A16" w:rsidRDefault="00DC1A16" w:rsidP="00DC1A16">
      <w:pPr>
        <w:spacing w:line="252" w:lineRule="auto"/>
        <w:ind w:left="667"/>
      </w:pPr>
      <w:r>
        <w:rPr>
          <w:sz w:val="19"/>
          <w:szCs w:val="19"/>
        </w:rPr>
        <w:t> </w:t>
      </w:r>
    </w:p>
    <w:p w:rsidR="00DC1A16" w:rsidRDefault="00DC1A16" w:rsidP="00DC1A16">
      <w:pPr>
        <w:ind w:left="662" w:right="984"/>
      </w:pPr>
      <w:r>
        <w:rPr>
          <w:sz w:val="19"/>
          <w:szCs w:val="19"/>
        </w:rPr>
        <w:t xml:space="preserve">Se prefieren aquellos modelos en los cuales las tapas tengan como elemento de sujeción un tornillo. </w:t>
      </w:r>
    </w:p>
    <w:p w:rsidR="00DC1A16" w:rsidRDefault="00DC1A16" w:rsidP="00DC1A16">
      <w:pPr>
        <w:spacing w:line="252" w:lineRule="auto"/>
        <w:ind w:left="667"/>
      </w:pPr>
      <w:r>
        <w:rPr>
          <w:sz w:val="19"/>
          <w:szCs w:val="19"/>
        </w:rPr>
        <w:t> </w:t>
      </w:r>
    </w:p>
    <w:p w:rsidR="00DC1A16" w:rsidRDefault="00DC1A16" w:rsidP="00DC1A16">
      <w:pPr>
        <w:ind w:left="662" w:right="984"/>
      </w:pPr>
      <w:r>
        <w:rPr>
          <w:sz w:val="19"/>
          <w:szCs w:val="19"/>
        </w:rPr>
        <w:t xml:space="preserve">Los </w:t>
      </w:r>
      <w:proofErr w:type="spellStart"/>
      <w:r>
        <w:rPr>
          <w:sz w:val="19"/>
          <w:szCs w:val="19"/>
        </w:rPr>
        <w:t>Mounting</w:t>
      </w:r>
      <w:proofErr w:type="spellEnd"/>
      <w:r>
        <w:rPr>
          <w:sz w:val="19"/>
          <w:szCs w:val="19"/>
        </w:rPr>
        <w:t xml:space="preserve"> box se deben </w:t>
      </w:r>
      <w:proofErr w:type="spellStart"/>
      <w:r>
        <w:rPr>
          <w:sz w:val="19"/>
          <w:szCs w:val="19"/>
        </w:rPr>
        <w:t>conectorizar</w:t>
      </w:r>
      <w:proofErr w:type="spellEnd"/>
      <w:r>
        <w:rPr>
          <w:sz w:val="19"/>
          <w:szCs w:val="19"/>
        </w:rPr>
        <w:t xml:space="preserve"> mediante la herramienta de impacto </w:t>
      </w:r>
      <w:proofErr w:type="spellStart"/>
      <w:r>
        <w:t>Tool-less</w:t>
      </w:r>
      <w:proofErr w:type="spellEnd"/>
      <w:r>
        <w:t>,</w:t>
      </w:r>
      <w:r>
        <w:rPr>
          <w:sz w:val="19"/>
          <w:szCs w:val="19"/>
        </w:rPr>
        <w:t xml:space="preserve"> deberán montarse por lo menos con dos tornillos, no se admite su montaje con pegamentos o adhesivos. </w:t>
      </w:r>
    </w:p>
    <w:p w:rsidR="00DC1A16" w:rsidRDefault="00DC1A16" w:rsidP="00DC1A16">
      <w:pPr>
        <w:spacing w:line="252" w:lineRule="auto"/>
        <w:ind w:left="667"/>
      </w:pPr>
      <w:r>
        <w:rPr>
          <w:sz w:val="19"/>
          <w:szCs w:val="19"/>
        </w:rPr>
        <w:t> </w:t>
      </w:r>
    </w:p>
    <w:p w:rsidR="00DC1A16" w:rsidRDefault="00DC1A16" w:rsidP="00DC1A16">
      <w:pPr>
        <w:ind w:left="662" w:right="987"/>
      </w:pPr>
      <w:r>
        <w:t xml:space="preserve">Se deberá utilizar un buen criterio estético en el momento de la colocación de los </w:t>
      </w:r>
      <w:proofErr w:type="spellStart"/>
      <w:r>
        <w:t>mounting</w:t>
      </w:r>
      <w:proofErr w:type="spellEnd"/>
      <w:r>
        <w:t xml:space="preserve"> y tomacorrientes en lo que se refiere a distancia entre ambos elementos, centrado uno con respecto al otro, etc., que dicho </w:t>
      </w:r>
      <w:r>
        <w:lastRenderedPageBreak/>
        <w:t xml:space="preserve">criterio se aplique por igual a todos los puestos a instalar estén o no en el mismo ambiente. </w:t>
      </w:r>
    </w:p>
    <w:p w:rsidR="00DC1A16" w:rsidRDefault="00DC1A16" w:rsidP="00DC1A16">
      <w:pPr>
        <w:spacing w:line="252" w:lineRule="auto"/>
        <w:ind w:left="667"/>
      </w:pPr>
      <w:r>
        <w:rPr>
          <w:sz w:val="19"/>
          <w:szCs w:val="19"/>
        </w:rPr>
        <w:t> </w:t>
      </w:r>
    </w:p>
    <w:p w:rsidR="00DC1A16" w:rsidRDefault="00DC1A16" w:rsidP="00DC1A16">
      <w:pPr>
        <w:ind w:left="662" w:right="984"/>
      </w:pPr>
      <w:r>
        <w:rPr>
          <w:sz w:val="19"/>
          <w:szCs w:val="19"/>
        </w:rPr>
        <w:t xml:space="preserve">Los </w:t>
      </w:r>
      <w:proofErr w:type="spellStart"/>
      <w:r>
        <w:rPr>
          <w:sz w:val="19"/>
          <w:szCs w:val="19"/>
        </w:rPr>
        <w:t>Jacks</w:t>
      </w:r>
      <w:proofErr w:type="spellEnd"/>
      <w:r>
        <w:rPr>
          <w:sz w:val="19"/>
          <w:szCs w:val="19"/>
        </w:rPr>
        <w:t xml:space="preserve"> deberán cumplir con la norma, TIA/EIA-568-B.2-1 </w:t>
      </w:r>
      <w:proofErr w:type="spellStart"/>
      <w:r>
        <w:t>Categoria</w:t>
      </w:r>
      <w:proofErr w:type="spellEnd"/>
      <w:r>
        <w:t xml:space="preserve"> 6</w:t>
      </w:r>
      <w:r>
        <w:rPr>
          <w:sz w:val="19"/>
          <w:szCs w:val="19"/>
        </w:rPr>
        <w:t xml:space="preserve"> and ISO 11801 o superior </w:t>
      </w:r>
      <w:r>
        <w:t> </w:t>
      </w:r>
    </w:p>
    <w:p w:rsidR="00DC1A16" w:rsidRDefault="00DC1A16" w:rsidP="00DC1A16">
      <w:pPr>
        <w:spacing w:line="252" w:lineRule="auto"/>
      </w:pPr>
      <w:r>
        <w:rPr>
          <w:b/>
          <w:bCs/>
        </w:rPr>
        <w:t> </w:t>
      </w:r>
    </w:p>
    <w:p w:rsidR="00DC1A16" w:rsidRDefault="00DC1A16" w:rsidP="00DC1A16">
      <w:pPr>
        <w:spacing w:line="252" w:lineRule="auto"/>
      </w:pPr>
      <w:r>
        <w:rPr>
          <w:b/>
          <w:bCs/>
        </w:rPr>
        <w:t> </w:t>
      </w:r>
    </w:p>
    <w:p w:rsidR="00DC1A16" w:rsidRDefault="00DC1A16" w:rsidP="00DC1A16">
      <w:pPr>
        <w:spacing w:line="252" w:lineRule="auto"/>
        <w:ind w:left="667"/>
      </w:pPr>
    </w:p>
    <w:p w:rsidR="00DC1A16" w:rsidRDefault="00DC1A16" w:rsidP="00DC1A16">
      <w:pPr>
        <w:numPr>
          <w:ilvl w:val="0"/>
          <w:numId w:val="4"/>
        </w:numPr>
        <w:spacing w:after="4" w:line="252" w:lineRule="auto"/>
        <w:ind w:right="907" w:hanging="338"/>
      </w:pPr>
      <w:proofErr w:type="spellStart"/>
      <w:r>
        <w:rPr>
          <w:b/>
          <w:bCs/>
        </w:rPr>
        <w:t>Patchcords</w:t>
      </w:r>
      <w:proofErr w:type="spellEnd"/>
      <w:r>
        <w:rPr>
          <w:b/>
          <w:bCs/>
        </w:rPr>
        <w:t xml:space="preserve">   </w:t>
      </w:r>
    </w:p>
    <w:p w:rsidR="00DC1A16" w:rsidRDefault="00DC1A16" w:rsidP="00DC1A16">
      <w:pPr>
        <w:spacing w:line="252" w:lineRule="auto"/>
        <w:ind w:left="451"/>
      </w:pPr>
      <w:r>
        <w:rPr>
          <w:b/>
          <w:bCs/>
        </w:rPr>
        <w:t> </w:t>
      </w:r>
    </w:p>
    <w:p w:rsidR="00DC1A16" w:rsidRDefault="00DC1A16" w:rsidP="00DC1A16">
      <w:pPr>
        <w:spacing w:line="252" w:lineRule="auto"/>
        <w:ind w:left="451"/>
      </w:pPr>
    </w:p>
    <w:p w:rsidR="00DC1A16" w:rsidRDefault="00DC1A16" w:rsidP="00DC1A16">
      <w:pPr>
        <w:ind w:left="461" w:right="987"/>
      </w:pPr>
      <w:r>
        <w:t xml:space="preserve">Los </w:t>
      </w:r>
      <w:proofErr w:type="spellStart"/>
      <w:r>
        <w:t>Patchcords</w:t>
      </w:r>
      <w:proofErr w:type="spellEnd"/>
      <w:r>
        <w:t xml:space="preserve"> a utilizar (</w:t>
      </w:r>
      <w:r>
        <w:rPr>
          <w:u w:val="single"/>
        </w:rPr>
        <w:t>suministrados por la empresa</w:t>
      </w:r>
      <w:r>
        <w:t xml:space="preserve">) deberán ser de origen, </w:t>
      </w:r>
      <w:r>
        <w:rPr>
          <w:b/>
          <w:bCs/>
        </w:rPr>
        <w:t>categoría 6,</w:t>
      </w:r>
      <w:r>
        <w:t xml:space="preserve">la la medida de 4 pies es , </w:t>
      </w:r>
      <w:r>
        <w:rPr>
          <w:b/>
          <w:bCs/>
        </w:rPr>
        <w:t xml:space="preserve">a título indicativo </w:t>
      </w:r>
      <w:r>
        <w:t xml:space="preserve"> para la conexión de elementos-activos y </w:t>
      </w:r>
      <w:proofErr w:type="spellStart"/>
      <w:r>
        <w:t>patcheras</w:t>
      </w:r>
      <w:proofErr w:type="spellEnd"/>
    </w:p>
    <w:p w:rsidR="00DC1A16" w:rsidRDefault="00DC1A16" w:rsidP="00DC1A16">
      <w:pPr>
        <w:ind w:left="461" w:right="987"/>
      </w:pPr>
      <w:r>
        <w:t xml:space="preserve">Los mismos deberán estar etiquetados en ambos extremos con sus correspondientes números correlativos comenzando en 1 en cada </w:t>
      </w:r>
      <w:proofErr w:type="spellStart"/>
      <w:r>
        <w:t>patchera</w:t>
      </w:r>
      <w:proofErr w:type="spellEnd"/>
      <w:r>
        <w:t xml:space="preserve">. </w:t>
      </w:r>
    </w:p>
    <w:p w:rsidR="00DC1A16" w:rsidRDefault="00DC1A16" w:rsidP="00DC1A16">
      <w:pPr>
        <w:spacing w:line="252" w:lineRule="auto"/>
        <w:ind w:left="451"/>
      </w:pPr>
      <w:r>
        <w:t> </w:t>
      </w:r>
      <w:r>
        <w:rPr>
          <w:b/>
          <w:bCs/>
        </w:rPr>
        <w:t xml:space="preserve">Se recuerda que la longitud de los </w:t>
      </w:r>
      <w:proofErr w:type="spellStart"/>
      <w:r>
        <w:rPr>
          <w:b/>
          <w:bCs/>
        </w:rPr>
        <w:t>patchcords</w:t>
      </w:r>
      <w:proofErr w:type="spellEnd"/>
      <w:r>
        <w:rPr>
          <w:b/>
          <w:bCs/>
        </w:rPr>
        <w:t xml:space="preserve"> para el rack deben ser el adecuado para           la distribución a emplear </w:t>
      </w:r>
    </w:p>
    <w:p w:rsidR="00DC1A16" w:rsidRDefault="00DC1A16" w:rsidP="00DC1A16">
      <w:pPr>
        <w:spacing w:line="252" w:lineRule="auto"/>
        <w:ind w:left="451"/>
      </w:pPr>
      <w:r>
        <w:rPr>
          <w:b/>
          <w:bCs/>
        </w:rPr>
        <w:t> </w:t>
      </w:r>
    </w:p>
    <w:p w:rsidR="00DC1A16" w:rsidRDefault="00DC1A16" w:rsidP="00DC1A16">
      <w:pPr>
        <w:numPr>
          <w:ilvl w:val="0"/>
          <w:numId w:val="5"/>
        </w:numPr>
        <w:spacing w:after="4" w:line="252" w:lineRule="auto"/>
        <w:ind w:right="907" w:hanging="338"/>
      </w:pPr>
      <w:r>
        <w:rPr>
          <w:b/>
          <w:bCs/>
        </w:rPr>
        <w:t xml:space="preserve">Entrada Líneas </w:t>
      </w:r>
      <w:proofErr w:type="spellStart"/>
      <w:r>
        <w:rPr>
          <w:b/>
          <w:bCs/>
        </w:rPr>
        <w:t>Antel</w:t>
      </w:r>
      <w:proofErr w:type="spellEnd"/>
      <w:r>
        <w:rPr>
          <w:b/>
          <w:bCs/>
        </w:rPr>
        <w:t xml:space="preserve">: </w:t>
      </w:r>
    </w:p>
    <w:p w:rsidR="00DC1A16" w:rsidRDefault="00DC1A16" w:rsidP="00DC1A16">
      <w:pPr>
        <w:spacing w:line="252" w:lineRule="auto"/>
      </w:pPr>
      <w:r>
        <w:t> </w:t>
      </w:r>
    </w:p>
    <w:p w:rsidR="00DC1A16" w:rsidRDefault="00DC1A16" w:rsidP="00DC1A16">
      <w:pPr>
        <w:ind w:left="662" w:right="987"/>
      </w:pPr>
      <w:r>
        <w:t>Se deberá instalar un registro de entrada con capacidad suficiente para alojar 2 regleta tipo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Kröne</w:t>
      </w:r>
      <w:proofErr w:type="spellEnd"/>
      <w:r>
        <w:t xml:space="preserve"> de 10 pares para Entrada de Servicios.(30*20) y  se deberá suministrar  1 regleta </w:t>
      </w:r>
      <w:proofErr w:type="spellStart"/>
      <w:r>
        <w:t>Krone</w:t>
      </w:r>
      <w:proofErr w:type="spellEnd"/>
      <w:r>
        <w:t xml:space="preserve"> de 10 puntos.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ind w:left="662" w:right="987"/>
      </w:pPr>
      <w:r>
        <w:t xml:space="preserve">Se deberán instalar por parte de la empresa </w:t>
      </w:r>
      <w:r>
        <w:rPr>
          <w:b/>
          <w:bCs/>
        </w:rPr>
        <w:t xml:space="preserve">3 </w:t>
      </w:r>
      <w:r>
        <w:t xml:space="preserve">cables UTP </w:t>
      </w:r>
      <w:proofErr w:type="spellStart"/>
      <w:r>
        <w:t>Cat</w:t>
      </w:r>
      <w:proofErr w:type="spellEnd"/>
      <w:r>
        <w:t xml:space="preserve"> 5E (para líneas de datos y servicios de telefonía básica) desde la entrada de líneas de </w:t>
      </w:r>
      <w:proofErr w:type="spellStart"/>
      <w:r>
        <w:rPr>
          <w:b/>
          <w:bCs/>
        </w:rPr>
        <w:t>Antel</w:t>
      </w:r>
      <w:proofErr w:type="spellEnd"/>
      <w:r>
        <w:t xml:space="preserve"> al edificio hasta el Rack de comunicaciones, las mismas se conectaran a las posiciones 1 – 10  (puertos RJ-45 ) de la </w:t>
      </w:r>
      <w:proofErr w:type="spellStart"/>
      <w:r>
        <w:t>patchera</w:t>
      </w:r>
      <w:proofErr w:type="spellEnd"/>
      <w:r>
        <w:t xml:space="preserve"> de Entrada de Servicios en los puntos 4 -5 de cada puerto .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spacing w:line="252" w:lineRule="auto"/>
      </w:pPr>
      <w:r>
        <w:t> </w:t>
      </w:r>
    </w:p>
    <w:p w:rsidR="00DC1A16" w:rsidRDefault="00DC1A16" w:rsidP="00DC1A16">
      <w:pPr>
        <w:numPr>
          <w:ilvl w:val="0"/>
          <w:numId w:val="5"/>
        </w:numPr>
        <w:spacing w:after="4" w:line="252" w:lineRule="auto"/>
        <w:ind w:right="907" w:hanging="338"/>
      </w:pPr>
      <w:r>
        <w:rPr>
          <w:b/>
          <w:bCs/>
        </w:rPr>
        <w:t xml:space="preserve">Identificación de puestos </w:t>
      </w:r>
    </w:p>
    <w:p w:rsidR="00DC1A16" w:rsidRDefault="00DC1A16" w:rsidP="00DC1A16">
      <w:pPr>
        <w:spacing w:line="252" w:lineRule="auto"/>
      </w:pPr>
      <w:r>
        <w:t> </w:t>
      </w:r>
    </w:p>
    <w:p w:rsidR="00DC1A16" w:rsidRDefault="00DC1A16" w:rsidP="00DC1A16">
      <w:pPr>
        <w:ind w:left="662" w:right="987"/>
      </w:pPr>
      <w:r>
        <w:t xml:space="preserve">Los puestos se deben identificar </w:t>
      </w:r>
    </w:p>
    <w:p w:rsidR="00DC1A16" w:rsidRDefault="00DC1A16" w:rsidP="00DC1A16">
      <w:pPr>
        <w:ind w:left="662" w:right="987"/>
      </w:pPr>
      <w:r>
        <w:t xml:space="preserve">No se dará el visto bueno a ninguna instalación en la que se encuentren puestos de datos sin etiquetar. </w:t>
      </w:r>
    </w:p>
    <w:p w:rsidR="00DC1A16" w:rsidRDefault="00DC1A16" w:rsidP="00DC1A16">
      <w:pPr>
        <w:spacing w:line="252" w:lineRule="auto"/>
        <w:ind w:left="667"/>
      </w:pPr>
      <w:r>
        <w:t> </w:t>
      </w:r>
    </w:p>
    <w:p w:rsidR="00DC1A16" w:rsidRDefault="00DC1A16" w:rsidP="00DC1A16">
      <w:pPr>
        <w:ind w:left="662" w:right="987"/>
      </w:pPr>
      <w:r>
        <w:t xml:space="preserve">La norma de conexionado a seguir será EIA/TIA 568b. Todos los cables y conexiones deberán ser perfectamente identificados cumpliendo la norma EIA/TIA 606.   </w:t>
      </w:r>
    </w:p>
    <w:p w:rsidR="00DC1A16" w:rsidRDefault="00DC1A16" w:rsidP="00DC1A16">
      <w:pPr>
        <w:spacing w:line="252" w:lineRule="auto"/>
        <w:ind w:left="667"/>
      </w:pPr>
      <w:r>
        <w:t> La empresa debe entregar al finalizar la instalación, el plano con la ubicación definitiva de los puestos instalados con su respectiva identificación.</w:t>
      </w:r>
    </w:p>
    <w:p w:rsidR="00DC1A16" w:rsidRDefault="00DC1A16" w:rsidP="00DC1A16">
      <w:pPr>
        <w:rPr>
          <w:lang w:eastAsia="es-UY"/>
        </w:rPr>
      </w:pPr>
    </w:p>
    <w:p w:rsidR="00DC1A16" w:rsidRDefault="00DC1A16" w:rsidP="00DC1A16">
      <w:pPr>
        <w:rPr>
          <w:b/>
          <w:bCs/>
          <w:lang w:eastAsia="es-UY"/>
        </w:rPr>
      </w:pPr>
      <w:proofErr w:type="spellStart"/>
      <w:r>
        <w:rPr>
          <w:b/>
          <w:bCs/>
          <w:lang w:eastAsia="es-UY"/>
        </w:rPr>
        <w:t>Garantia</w:t>
      </w:r>
      <w:proofErr w:type="spellEnd"/>
    </w:p>
    <w:p w:rsidR="00DC1A16" w:rsidRDefault="00DC1A16" w:rsidP="00DC1A16">
      <w:pPr>
        <w:ind w:left="662" w:right="987"/>
      </w:pPr>
      <w:r>
        <w:t>La garantía para los materiales y de la instalación de datos es de 20 años.</w:t>
      </w:r>
    </w:p>
    <w:p w:rsidR="00DC1A16" w:rsidRDefault="00DC1A16" w:rsidP="00DC1A16">
      <w:pPr>
        <w:ind w:left="662" w:right="987"/>
      </w:pPr>
    </w:p>
    <w:p w:rsidR="00755783" w:rsidRDefault="00755783"/>
    <w:sectPr w:rsidR="00755783" w:rsidSect="00755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3EE"/>
    <w:multiLevelType w:val="hybridMultilevel"/>
    <w:tmpl w:val="425AE9EE"/>
    <w:lvl w:ilvl="0" w:tplc="01BE480A">
      <w:start w:val="1"/>
      <w:numFmt w:val="bullet"/>
      <w:lvlText w:val="-"/>
      <w:lvlJc w:val="left"/>
      <w:pPr>
        <w:ind w:left="38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972B4AE">
      <w:start w:val="1"/>
      <w:numFmt w:val="bullet"/>
      <w:lvlText w:val="o"/>
      <w:lvlJc w:val="left"/>
      <w:pPr>
        <w:ind w:left="115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BF81742">
      <w:start w:val="1"/>
      <w:numFmt w:val="bullet"/>
      <w:lvlText w:val="▪"/>
      <w:lvlJc w:val="left"/>
      <w:pPr>
        <w:ind w:left="187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202F752">
      <w:start w:val="1"/>
      <w:numFmt w:val="bullet"/>
      <w:lvlText w:val="•"/>
      <w:lvlJc w:val="left"/>
      <w:pPr>
        <w:ind w:left="259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CAE42E0">
      <w:start w:val="1"/>
      <w:numFmt w:val="bullet"/>
      <w:lvlText w:val="o"/>
      <w:lvlJc w:val="left"/>
      <w:pPr>
        <w:ind w:left="331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18806F4">
      <w:start w:val="1"/>
      <w:numFmt w:val="bullet"/>
      <w:lvlText w:val="▪"/>
      <w:lvlJc w:val="left"/>
      <w:pPr>
        <w:ind w:left="403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4493FA">
      <w:start w:val="1"/>
      <w:numFmt w:val="bullet"/>
      <w:lvlText w:val="•"/>
      <w:lvlJc w:val="left"/>
      <w:pPr>
        <w:ind w:left="475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E22DCB6">
      <w:start w:val="1"/>
      <w:numFmt w:val="bullet"/>
      <w:lvlText w:val="o"/>
      <w:lvlJc w:val="left"/>
      <w:pPr>
        <w:ind w:left="547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192997E">
      <w:start w:val="1"/>
      <w:numFmt w:val="bullet"/>
      <w:lvlText w:val="▪"/>
      <w:lvlJc w:val="left"/>
      <w:pPr>
        <w:ind w:left="619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EBE39C4"/>
    <w:multiLevelType w:val="hybridMultilevel"/>
    <w:tmpl w:val="834EE99A"/>
    <w:lvl w:ilvl="0" w:tplc="617A08CA">
      <w:start w:val="1"/>
      <w:numFmt w:val="bullet"/>
      <w:lvlText w:val="-"/>
      <w:lvlJc w:val="left"/>
      <w:pPr>
        <w:ind w:left="158" w:firstLine="0"/>
      </w:pPr>
      <w:rPr>
        <w:rFonts w:ascii="Arial" w:eastAsia="Arial" w:hAnsi="Arial" w:cs="Arial"/>
        <w:b/>
        <w:bCs/>
        <w:i w:val="0"/>
        <w:color w:val="000000"/>
        <w:sz w:val="18"/>
        <w:szCs w:val="18"/>
        <w:u w:val="single" w:color="000000"/>
        <w:bdr w:val="none" w:sz="0" w:space="0" w:color="auto" w:frame="1"/>
        <w:vertAlign w:val="baseline"/>
      </w:rPr>
    </w:lvl>
    <w:lvl w:ilvl="1" w:tplc="9AAAE24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/>
        <w:bCs/>
        <w:i w:val="0"/>
        <w:color w:val="000000"/>
        <w:sz w:val="18"/>
        <w:szCs w:val="18"/>
        <w:u w:val="single" w:color="000000"/>
        <w:bdr w:val="none" w:sz="0" w:space="0" w:color="auto" w:frame="1"/>
        <w:vertAlign w:val="baseline"/>
      </w:rPr>
    </w:lvl>
    <w:lvl w:ilvl="2" w:tplc="BA1A0A58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/>
        <w:bCs/>
        <w:i w:val="0"/>
        <w:color w:val="000000"/>
        <w:sz w:val="18"/>
        <w:szCs w:val="18"/>
        <w:u w:val="single" w:color="000000"/>
        <w:bdr w:val="none" w:sz="0" w:space="0" w:color="auto" w:frame="1"/>
        <w:vertAlign w:val="baseline"/>
      </w:rPr>
    </w:lvl>
    <w:lvl w:ilvl="3" w:tplc="578E61C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/>
        <w:bCs/>
        <w:i w:val="0"/>
        <w:color w:val="000000"/>
        <w:sz w:val="18"/>
        <w:szCs w:val="18"/>
        <w:u w:val="single" w:color="000000"/>
        <w:bdr w:val="none" w:sz="0" w:space="0" w:color="auto" w:frame="1"/>
        <w:vertAlign w:val="baseline"/>
      </w:rPr>
    </w:lvl>
    <w:lvl w:ilvl="4" w:tplc="779880A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/>
        <w:bCs/>
        <w:i w:val="0"/>
        <w:color w:val="000000"/>
        <w:sz w:val="18"/>
        <w:szCs w:val="18"/>
        <w:u w:val="single" w:color="000000"/>
        <w:bdr w:val="none" w:sz="0" w:space="0" w:color="auto" w:frame="1"/>
        <w:vertAlign w:val="baseline"/>
      </w:rPr>
    </w:lvl>
    <w:lvl w:ilvl="5" w:tplc="E75A257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/>
        <w:bCs/>
        <w:i w:val="0"/>
        <w:color w:val="000000"/>
        <w:sz w:val="18"/>
        <w:szCs w:val="18"/>
        <w:u w:val="single" w:color="000000"/>
        <w:bdr w:val="none" w:sz="0" w:space="0" w:color="auto" w:frame="1"/>
        <w:vertAlign w:val="baseline"/>
      </w:rPr>
    </w:lvl>
    <w:lvl w:ilvl="6" w:tplc="8E46A4A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/>
        <w:bCs/>
        <w:i w:val="0"/>
        <w:color w:val="000000"/>
        <w:sz w:val="18"/>
        <w:szCs w:val="18"/>
        <w:u w:val="single" w:color="000000"/>
        <w:bdr w:val="none" w:sz="0" w:space="0" w:color="auto" w:frame="1"/>
        <w:vertAlign w:val="baseline"/>
      </w:rPr>
    </w:lvl>
    <w:lvl w:ilvl="7" w:tplc="227418E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/>
        <w:bCs/>
        <w:i w:val="0"/>
        <w:color w:val="000000"/>
        <w:sz w:val="18"/>
        <w:szCs w:val="18"/>
        <w:u w:val="single" w:color="000000"/>
        <w:bdr w:val="none" w:sz="0" w:space="0" w:color="auto" w:frame="1"/>
        <w:vertAlign w:val="baseline"/>
      </w:rPr>
    </w:lvl>
    <w:lvl w:ilvl="8" w:tplc="B9FA378C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/>
        <w:bCs/>
        <w:i w:val="0"/>
        <w:color w:val="000000"/>
        <w:sz w:val="18"/>
        <w:szCs w:val="18"/>
        <w:u w:val="single" w:color="000000"/>
        <w:bdr w:val="none" w:sz="0" w:space="0" w:color="auto" w:frame="1"/>
        <w:vertAlign w:val="baseline"/>
      </w:rPr>
    </w:lvl>
  </w:abstractNum>
  <w:abstractNum w:abstractNumId="2">
    <w:nsid w:val="3FBD0189"/>
    <w:multiLevelType w:val="hybridMultilevel"/>
    <w:tmpl w:val="22A09C48"/>
    <w:lvl w:ilvl="0" w:tplc="F51A98BC">
      <w:start w:val="1"/>
      <w:numFmt w:val="bullet"/>
      <w:lvlText w:val="•"/>
      <w:lvlJc w:val="left"/>
      <w:pPr>
        <w:ind w:left="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C058C8">
      <w:start w:val="1"/>
      <w:numFmt w:val="bullet"/>
      <w:lvlText w:val="o"/>
      <w:lvlJc w:val="left"/>
      <w:pPr>
        <w:ind w:left="1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62E1E">
      <w:start w:val="1"/>
      <w:numFmt w:val="bullet"/>
      <w:lvlText w:val="▪"/>
      <w:lvlJc w:val="left"/>
      <w:pPr>
        <w:ind w:left="2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C8CC18">
      <w:start w:val="1"/>
      <w:numFmt w:val="bullet"/>
      <w:lvlText w:val="•"/>
      <w:lvlJc w:val="left"/>
      <w:pPr>
        <w:ind w:left="2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74B5E0">
      <w:start w:val="1"/>
      <w:numFmt w:val="bullet"/>
      <w:lvlText w:val="o"/>
      <w:lvlJc w:val="left"/>
      <w:pPr>
        <w:ind w:left="3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54FA90">
      <w:start w:val="1"/>
      <w:numFmt w:val="bullet"/>
      <w:lvlText w:val="▪"/>
      <w:lvlJc w:val="left"/>
      <w:pPr>
        <w:ind w:left="4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1B49CAE">
      <w:start w:val="1"/>
      <w:numFmt w:val="bullet"/>
      <w:lvlText w:val="•"/>
      <w:lvlJc w:val="left"/>
      <w:pPr>
        <w:ind w:left="50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328DFF8">
      <w:start w:val="1"/>
      <w:numFmt w:val="bullet"/>
      <w:lvlText w:val="o"/>
      <w:lvlJc w:val="left"/>
      <w:pPr>
        <w:ind w:left="57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5224AEA">
      <w:start w:val="1"/>
      <w:numFmt w:val="bullet"/>
      <w:lvlText w:val="▪"/>
      <w:lvlJc w:val="left"/>
      <w:pPr>
        <w:ind w:left="64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5E8070B"/>
    <w:multiLevelType w:val="hybridMultilevel"/>
    <w:tmpl w:val="D0F49B8C"/>
    <w:lvl w:ilvl="0" w:tplc="EB0E29EC">
      <w:start w:val="1"/>
      <w:numFmt w:val="bullet"/>
      <w:lvlText w:val="-"/>
      <w:lvlJc w:val="left"/>
      <w:pPr>
        <w:ind w:left="1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2E6D84">
      <w:start w:val="1"/>
      <w:numFmt w:val="bullet"/>
      <w:lvlText w:val="•"/>
      <w:lvlJc w:val="left"/>
      <w:pPr>
        <w:ind w:left="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CAF842B8">
      <w:start w:val="1"/>
      <w:numFmt w:val="bullet"/>
      <w:lvlText w:val="▪"/>
      <w:lvlJc w:val="left"/>
      <w:pPr>
        <w:ind w:left="17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FB26A6B4">
      <w:start w:val="1"/>
      <w:numFmt w:val="bullet"/>
      <w:lvlText w:val="•"/>
      <w:lvlJc w:val="left"/>
      <w:pPr>
        <w:ind w:left="2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F5C08BCC">
      <w:start w:val="1"/>
      <w:numFmt w:val="bullet"/>
      <w:lvlText w:val="o"/>
      <w:lvlJc w:val="left"/>
      <w:pPr>
        <w:ind w:left="3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792C15CC">
      <w:start w:val="1"/>
      <w:numFmt w:val="bullet"/>
      <w:lvlText w:val="▪"/>
      <w:lvlJc w:val="left"/>
      <w:pPr>
        <w:ind w:left="39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B6DA6912">
      <w:start w:val="1"/>
      <w:numFmt w:val="bullet"/>
      <w:lvlText w:val="•"/>
      <w:lvlJc w:val="left"/>
      <w:pPr>
        <w:ind w:left="46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5D922830">
      <w:start w:val="1"/>
      <w:numFmt w:val="bullet"/>
      <w:lvlText w:val="o"/>
      <w:lvlJc w:val="left"/>
      <w:pPr>
        <w:ind w:left="53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2F846ACC">
      <w:start w:val="1"/>
      <w:numFmt w:val="bullet"/>
      <w:lvlText w:val="▪"/>
      <w:lvlJc w:val="left"/>
      <w:pPr>
        <w:ind w:left="60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4D9040A"/>
    <w:multiLevelType w:val="hybridMultilevel"/>
    <w:tmpl w:val="553410CA"/>
    <w:lvl w:ilvl="0" w:tplc="67FCCEE0">
      <w:start w:val="1"/>
      <w:numFmt w:val="bullet"/>
      <w:lvlText w:val="-"/>
      <w:lvlJc w:val="left"/>
      <w:pPr>
        <w:ind w:left="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D6E312A">
      <w:start w:val="1"/>
      <w:numFmt w:val="bullet"/>
      <w:lvlText w:val="o"/>
      <w:lvlJc w:val="left"/>
      <w:pPr>
        <w:ind w:left="1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32CFEC0">
      <w:start w:val="1"/>
      <w:numFmt w:val="bullet"/>
      <w:lvlText w:val="▪"/>
      <w:lvlJc w:val="left"/>
      <w:pPr>
        <w:ind w:left="1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F743BB0">
      <w:start w:val="1"/>
      <w:numFmt w:val="bullet"/>
      <w:lvlText w:val="•"/>
      <w:lvlJc w:val="left"/>
      <w:pPr>
        <w:ind w:left="2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852216E">
      <w:start w:val="1"/>
      <w:numFmt w:val="bullet"/>
      <w:lvlText w:val="o"/>
      <w:lvlJc w:val="left"/>
      <w:pPr>
        <w:ind w:left="33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41EE06E">
      <w:start w:val="1"/>
      <w:numFmt w:val="bullet"/>
      <w:lvlText w:val="▪"/>
      <w:lvlJc w:val="left"/>
      <w:pPr>
        <w:ind w:left="4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E3C1216">
      <w:start w:val="1"/>
      <w:numFmt w:val="bullet"/>
      <w:lvlText w:val="•"/>
      <w:lvlJc w:val="left"/>
      <w:pPr>
        <w:ind w:left="47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7248018">
      <w:start w:val="1"/>
      <w:numFmt w:val="bullet"/>
      <w:lvlText w:val="o"/>
      <w:lvlJc w:val="left"/>
      <w:pPr>
        <w:ind w:left="54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EAA966C">
      <w:start w:val="1"/>
      <w:numFmt w:val="bullet"/>
      <w:lvlText w:val="▪"/>
      <w:lvlJc w:val="left"/>
      <w:pPr>
        <w:ind w:left="6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A16"/>
    <w:rsid w:val="00755783"/>
    <w:rsid w:val="00DC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16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DC1A16"/>
    <w:pPr>
      <w:keepNext/>
      <w:spacing w:line="252" w:lineRule="auto"/>
      <w:ind w:left="10" w:right="1002" w:hanging="10"/>
      <w:jc w:val="center"/>
      <w:outlineLvl w:val="0"/>
    </w:pPr>
    <w:rPr>
      <w:rFonts w:ascii="Arial" w:hAnsi="Arial" w:cs="Arial"/>
      <w:b/>
      <w:bCs/>
      <w:color w:val="000000"/>
      <w:kern w:val="36"/>
      <w:sz w:val="33"/>
      <w:szCs w:val="33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1A16"/>
    <w:rPr>
      <w:rFonts w:ascii="Arial" w:hAnsi="Arial" w:cs="Arial"/>
      <w:b/>
      <w:bCs/>
      <w:color w:val="000000"/>
      <w:kern w:val="36"/>
      <w:sz w:val="33"/>
      <w:szCs w:val="33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Santamaria (Responsable Areas-Centro de Comp</dc:creator>
  <cp:lastModifiedBy>Gustavo Santamaria (Responsable Areas-Centro de Comp</cp:lastModifiedBy>
  <cp:revision>1</cp:revision>
  <dcterms:created xsi:type="dcterms:W3CDTF">2018-08-02T13:16:00Z</dcterms:created>
  <dcterms:modified xsi:type="dcterms:W3CDTF">2018-08-02T13:18:00Z</dcterms:modified>
</cp:coreProperties>
</file>