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8E" w:rsidRDefault="0004458E" w:rsidP="0004458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Respecto a la consulta realizada por </w:t>
      </w:r>
      <w:proofErr w:type="spellStart"/>
      <w:r>
        <w:rPr>
          <w:rFonts w:ascii="Calibri" w:hAnsi="Calibri"/>
          <w:color w:val="000000"/>
        </w:rPr>
        <w:t>Dexin</w:t>
      </w:r>
      <w:proofErr w:type="spellEnd"/>
      <w:r>
        <w:rPr>
          <w:rFonts w:ascii="Calibri" w:hAnsi="Calibri"/>
          <w:color w:val="000000"/>
        </w:rPr>
        <w:t xml:space="preserve"> y la respuesta realizada, Notarial del MGAP indica que el Pliego General aprobado por el Decreto 131 del 2014 expresa en el punto 10.3 que "</w:t>
      </w:r>
      <w:r>
        <w:rPr>
          <w:rStyle w:val="nfasis"/>
          <w:rFonts w:ascii="Calibri" w:hAnsi="Calibri"/>
          <w:b/>
          <w:bCs/>
          <w:color w:val="333333"/>
        </w:rPr>
        <w:t>Dichos precios no podrán estar sujetos a confirmación ni condicionados en forma alguna." ​</w:t>
      </w:r>
      <w:proofErr w:type="gramStart"/>
      <w:r>
        <w:rPr>
          <w:rFonts w:ascii="Calibri" w:hAnsi="Calibri"/>
          <w:color w:val="333333"/>
        </w:rPr>
        <w:t>y</w:t>
      </w:r>
      <w:proofErr w:type="gramEnd"/>
      <w:r>
        <w:rPr>
          <w:rFonts w:ascii="Calibri" w:hAnsi="Calibri"/>
          <w:color w:val="333333"/>
        </w:rPr>
        <w:t xml:space="preserve"> por tanto no puede aceptarse la condición de precio por compra conjunta propuesto por la empresa </w:t>
      </w:r>
      <w:proofErr w:type="spellStart"/>
      <w:r>
        <w:rPr>
          <w:rFonts w:ascii="Calibri" w:hAnsi="Calibri"/>
          <w:color w:val="333333"/>
        </w:rPr>
        <w:t>Dexin</w:t>
      </w:r>
      <w:proofErr w:type="spellEnd"/>
      <w:r>
        <w:rPr>
          <w:rFonts w:ascii="Calibri" w:hAnsi="Calibri"/>
          <w:color w:val="333333"/>
        </w:rPr>
        <w:t>.</w:t>
      </w:r>
    </w:p>
    <w:p w:rsidR="0004458E" w:rsidRDefault="0004458E" w:rsidP="0004458E">
      <w:pPr>
        <w:pStyle w:val="NormalWeb"/>
        <w:rPr>
          <w:rFonts w:ascii="Calibri" w:hAnsi="Calibri"/>
          <w:color w:val="000000"/>
        </w:rPr>
      </w:pPr>
    </w:p>
    <w:p w:rsidR="0004458E" w:rsidRDefault="0004458E" w:rsidP="0004458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Transcribo la parte del Pliego General, cuya versión completa puede obtenerse del IMPO consultando por el Decreto 131/2014: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color w:val="333333"/>
        </w:rPr>
      </w:pPr>
      <w:r>
        <w:rPr>
          <w:rStyle w:val="nfasis"/>
          <w:rFonts w:ascii="Calibri" w:hAnsi="Calibri"/>
          <w:color w:val="333333"/>
        </w:rPr>
        <w:t>10.3 Precio y cotización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r>
        <w:rPr>
          <w:rStyle w:val="nfasis"/>
          <w:rFonts w:ascii="Calibri" w:hAnsi="Calibri"/>
          <w:color w:val="333333"/>
        </w:rPr>
        <w:t>El Pliego Particular establecerá las condiciones de compra en plaza, en el exterior o indistintamente, rigiendo las cláusulas INCOTERMS -Cámara de Comercio Internacional (CCI)- aplicables en la versión vigente a la fecha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proofErr w:type="gramStart"/>
      <w:r>
        <w:rPr>
          <w:rStyle w:val="nfasis"/>
          <w:rFonts w:ascii="Calibri" w:hAnsi="Calibri"/>
          <w:color w:val="333333"/>
        </w:rPr>
        <w:t>de</w:t>
      </w:r>
      <w:proofErr w:type="gramEnd"/>
      <w:r>
        <w:rPr>
          <w:rStyle w:val="nfasis"/>
          <w:rFonts w:ascii="Calibri" w:hAnsi="Calibri"/>
          <w:color w:val="333333"/>
        </w:rPr>
        <w:t xml:space="preserve"> la convocatoria en lo que corresponda.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r>
        <w:rPr>
          <w:rStyle w:val="nfasis"/>
          <w:rFonts w:ascii="Calibri" w:hAnsi="Calibri"/>
          <w:color w:val="333333"/>
        </w:rPr>
        <w:t>El oferente indicará los precios de los bienes y servicios que propone suministrar en las condiciones comerciales establecidas en el Pliego Particular.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r>
        <w:rPr>
          <w:rStyle w:val="Textoennegrita"/>
          <w:rFonts w:ascii="Calibri" w:hAnsi="Calibri"/>
          <w:i/>
          <w:iCs/>
          <w:color w:val="333333"/>
        </w:rPr>
        <w:t>Dichos precios no podrán estar sujetos a confirmación ni condicionados en forma alguna.</w:t>
      </w:r>
      <w:r>
        <w:rPr>
          <w:rStyle w:val="nfasis"/>
          <w:rFonts w:ascii="Calibri" w:hAnsi="Calibri"/>
          <w:color w:val="333333"/>
        </w:rPr>
        <w:t xml:space="preserve"> En el caso en </w:t>
      </w:r>
      <w:proofErr w:type="gramStart"/>
      <w:r>
        <w:rPr>
          <w:rStyle w:val="nfasis"/>
          <w:rFonts w:ascii="Calibri" w:hAnsi="Calibri"/>
          <w:color w:val="333333"/>
        </w:rPr>
        <w:t>que</w:t>
      </w:r>
      <w:proofErr w:type="gramEnd"/>
      <w:r>
        <w:rPr>
          <w:rStyle w:val="nfasis"/>
          <w:rFonts w:ascii="Calibri" w:hAnsi="Calibri"/>
          <w:color w:val="333333"/>
        </w:rPr>
        <w:t xml:space="preserve"> el Pliego Particular no determine precisamente la cantidad a comprar, los oferentes podrán proponer precios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proofErr w:type="gramStart"/>
      <w:r>
        <w:rPr>
          <w:rStyle w:val="nfasis"/>
          <w:rFonts w:ascii="Calibri" w:hAnsi="Calibri"/>
          <w:color w:val="333333"/>
        </w:rPr>
        <w:t>distintos</w:t>
      </w:r>
      <w:proofErr w:type="gramEnd"/>
      <w:r>
        <w:rPr>
          <w:rStyle w:val="nfasis"/>
          <w:rFonts w:ascii="Calibri" w:hAnsi="Calibri"/>
          <w:color w:val="333333"/>
        </w:rPr>
        <w:t xml:space="preserve"> por cantidades diferentes de unidades que se adjudiquen.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r>
        <w:rPr>
          <w:rStyle w:val="nfasis"/>
          <w:rFonts w:ascii="Calibri" w:hAnsi="Calibri"/>
          <w:color w:val="333333"/>
        </w:rPr>
        <w:t>El oferente indicará los precios de los bienes y servicios que propone suministrar en las condiciones comerciales establecidas en el Pliego Particular, el que establecerá el o los tipos de moneda en que deberá</w:t>
      </w:r>
    </w:p>
    <w:p w:rsidR="0004458E" w:rsidRDefault="0004458E" w:rsidP="0004458E">
      <w:pPr>
        <w:pStyle w:val="HTMLconformatoprevio"/>
        <w:shd w:val="clear" w:color="auto" w:fill="FFFFFF"/>
        <w:spacing w:after="150"/>
        <w:rPr>
          <w:rStyle w:val="nfasis"/>
          <w:rFonts w:ascii="Calibri" w:hAnsi="Calibri"/>
          <w:color w:val="333333"/>
        </w:rPr>
      </w:pPr>
      <w:proofErr w:type="gramStart"/>
      <w:r>
        <w:rPr>
          <w:rStyle w:val="nfasis"/>
          <w:rFonts w:ascii="Calibri" w:hAnsi="Calibri"/>
          <w:color w:val="333333"/>
        </w:rPr>
        <w:t>cotizarse</w:t>
      </w:r>
      <w:proofErr w:type="gramEnd"/>
      <w:r>
        <w:rPr>
          <w:rStyle w:val="nfasis"/>
          <w:rFonts w:ascii="Calibri" w:hAnsi="Calibri"/>
          <w:color w:val="333333"/>
        </w:rPr>
        <w:t xml:space="preserve"> y los instrumentos de pago que pueden utilizarse.</w:t>
      </w:r>
    </w:p>
    <w:p w:rsidR="00D1629A" w:rsidRDefault="0004458E">
      <w:bookmarkStart w:id="0" w:name="_GoBack"/>
      <w:bookmarkEnd w:id="0"/>
    </w:p>
    <w:sectPr w:rsidR="00D1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E"/>
    <w:rsid w:val="0004458E"/>
    <w:rsid w:val="00136D50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B8F4ED-C761-476A-9097-29F55373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458E"/>
    <w:rPr>
      <w:rFonts w:ascii="Courier New" w:hAnsi="Courier New" w:cs="Courier New"/>
      <w:sz w:val="20"/>
      <w:szCs w:val="20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04458E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styleId="nfasis">
    <w:name w:val="Emphasis"/>
    <w:basedOn w:val="Fuentedeprrafopredeter"/>
    <w:uiPriority w:val="20"/>
    <w:qFormat/>
    <w:rsid w:val="0004458E"/>
    <w:rPr>
      <w:i/>
      <w:iCs/>
    </w:rPr>
  </w:style>
  <w:style w:type="character" w:styleId="Textoennegrita">
    <w:name w:val="Strong"/>
    <w:basedOn w:val="Fuentedeprrafopredeter"/>
    <w:uiPriority w:val="22"/>
    <w:qFormat/>
    <w:rsid w:val="00044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2019-01-18T14:53:00Z</dcterms:created>
  <dcterms:modified xsi:type="dcterms:W3CDTF">2019-01-18T14:54:00Z</dcterms:modified>
</cp:coreProperties>
</file>