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5847" w14:textId="77777777" w:rsidR="008A5A54" w:rsidRPr="009F66DB" w:rsidRDefault="008A5A54" w:rsidP="00A92929">
      <w:pPr>
        <w:spacing w:after="0"/>
        <w:jc w:val="both"/>
        <w:rPr>
          <w:b/>
        </w:rPr>
      </w:pPr>
      <w:r w:rsidRPr="009F66DB">
        <w:rPr>
          <w:b/>
        </w:rPr>
        <w:t>Licitación Pública Internacional N° 0</w:t>
      </w:r>
      <w:r w:rsidR="00E370BD">
        <w:rPr>
          <w:b/>
        </w:rPr>
        <w:t>7</w:t>
      </w:r>
      <w:r w:rsidRPr="009F66DB">
        <w:rPr>
          <w:b/>
        </w:rPr>
        <w:t>/201</w:t>
      </w:r>
      <w:r w:rsidR="00E370BD">
        <w:rPr>
          <w:b/>
        </w:rPr>
        <w:t>8</w:t>
      </w:r>
    </w:p>
    <w:p w14:paraId="661E6F90" w14:textId="77777777" w:rsidR="008A5A54" w:rsidRPr="009F66DB" w:rsidRDefault="008A5A54" w:rsidP="009F66DB">
      <w:pPr>
        <w:jc w:val="both"/>
        <w:rPr>
          <w:b/>
        </w:rPr>
      </w:pPr>
      <w:r w:rsidRPr="009F66DB">
        <w:rPr>
          <w:b/>
        </w:rPr>
        <w:t>Administración Nacional de Educación Pública ANEP.-</w:t>
      </w:r>
    </w:p>
    <w:p w14:paraId="1F2694E5" w14:textId="2EAB31A8" w:rsidR="00CF4FC3" w:rsidRPr="009F66DB" w:rsidRDefault="00331AAD" w:rsidP="009F66DB">
      <w:pPr>
        <w:pBdr>
          <w:bottom w:val="single" w:sz="6" w:space="1" w:color="auto"/>
        </w:pBdr>
        <w:jc w:val="both"/>
        <w:rPr>
          <w:b/>
        </w:rPr>
      </w:pPr>
      <w:r>
        <w:rPr>
          <w:b/>
        </w:rPr>
        <w:t xml:space="preserve">Comunicado N° </w:t>
      </w:r>
      <w:r w:rsidR="00E8632C">
        <w:rPr>
          <w:b/>
        </w:rPr>
        <w:t>12</w:t>
      </w:r>
    </w:p>
    <w:p w14:paraId="60EB3FFC" w14:textId="77777777" w:rsidR="00E75D01" w:rsidRDefault="00E75D01" w:rsidP="00E75D01">
      <w:pPr>
        <w:jc w:val="both"/>
        <w:rPr>
          <w:b/>
        </w:rPr>
      </w:pPr>
      <w:r w:rsidRPr="009E2E1E">
        <w:rPr>
          <w:b/>
        </w:rPr>
        <w:t>Al amparo de lo establecido en la Cláusula 12 del Pliego de Condiciones Administrativas que rige la presente licitación, se realiza</w:t>
      </w:r>
      <w:r>
        <w:rPr>
          <w:b/>
        </w:rPr>
        <w:t>n</w:t>
      </w:r>
      <w:r w:rsidRPr="009E2E1E">
        <w:rPr>
          <w:b/>
        </w:rPr>
        <w:t xml:space="preserve"> la</w:t>
      </w:r>
      <w:r>
        <w:rPr>
          <w:b/>
        </w:rPr>
        <w:t>s</w:t>
      </w:r>
      <w:r w:rsidRPr="009E2E1E">
        <w:rPr>
          <w:b/>
        </w:rPr>
        <w:t xml:space="preserve"> siguiente</w:t>
      </w:r>
      <w:r>
        <w:rPr>
          <w:b/>
        </w:rPr>
        <w:t>s puntualizaciones</w:t>
      </w:r>
      <w:r w:rsidRPr="009E2E1E">
        <w:rPr>
          <w:b/>
        </w:rPr>
        <w:t>:</w:t>
      </w:r>
    </w:p>
    <w:p w14:paraId="47CD5E95" w14:textId="77777777" w:rsidR="00E75D01" w:rsidRDefault="00E75D01" w:rsidP="00E75D01">
      <w:pPr>
        <w:spacing w:after="0"/>
        <w:jc w:val="both"/>
        <w:rPr>
          <w:b/>
          <w:caps/>
          <w:sz w:val="28"/>
          <w:szCs w:val="28"/>
          <w:u w:val="single"/>
        </w:rPr>
      </w:pPr>
      <w:r>
        <w:rPr>
          <w:b/>
          <w:caps/>
          <w:sz w:val="28"/>
          <w:szCs w:val="28"/>
          <w:u w:val="single"/>
        </w:rPr>
        <w:t>Puntualización 1</w:t>
      </w:r>
    </w:p>
    <w:p w14:paraId="175CB005" w14:textId="0E8845AB" w:rsidR="00E75D01" w:rsidRPr="0041028F" w:rsidRDefault="00E75D01" w:rsidP="00A47B46">
      <w:pPr>
        <w:jc w:val="both"/>
        <w:rPr>
          <w:rFonts w:ascii="Tahoma" w:hAnsi="Tahoma" w:cs="Tahoma"/>
          <w:sz w:val="20"/>
          <w:szCs w:val="20"/>
        </w:rPr>
      </w:pPr>
      <w:r w:rsidRPr="0041028F">
        <w:rPr>
          <w:rFonts w:ascii="Tahoma" w:hAnsi="Tahoma" w:cs="Tahoma"/>
          <w:sz w:val="20"/>
          <w:szCs w:val="20"/>
        </w:rPr>
        <w:t xml:space="preserve">S33 – Rocha- Chuy- </w:t>
      </w:r>
      <w:r w:rsidR="00C14C84" w:rsidRPr="0041028F">
        <w:rPr>
          <w:rFonts w:ascii="Tahoma" w:hAnsi="Tahoma" w:cs="Tahoma"/>
          <w:sz w:val="20"/>
          <w:szCs w:val="20"/>
        </w:rPr>
        <w:t xml:space="preserve">Liceo Padrón 15032, cambia a Padrón 3322. </w:t>
      </w:r>
    </w:p>
    <w:p w14:paraId="487BA495" w14:textId="3D0D69A6" w:rsidR="009C1F54" w:rsidRDefault="009C1F54" w:rsidP="009C1F54">
      <w:pPr>
        <w:spacing w:after="0"/>
        <w:jc w:val="both"/>
        <w:rPr>
          <w:b/>
          <w:caps/>
          <w:sz w:val="28"/>
          <w:szCs w:val="28"/>
          <w:u w:val="single"/>
        </w:rPr>
      </w:pPr>
      <w:r>
        <w:rPr>
          <w:b/>
          <w:caps/>
          <w:sz w:val="28"/>
          <w:szCs w:val="28"/>
          <w:u w:val="single"/>
        </w:rPr>
        <w:t>Puntualización 2</w:t>
      </w:r>
    </w:p>
    <w:p w14:paraId="435C4C47" w14:textId="77777777" w:rsidR="0041028F" w:rsidRPr="0041028F" w:rsidRDefault="0041028F" w:rsidP="0041028F">
      <w:pPr>
        <w:jc w:val="both"/>
        <w:rPr>
          <w:rFonts w:ascii="Tahoma" w:hAnsi="Tahoma" w:cs="Tahoma"/>
          <w:sz w:val="20"/>
          <w:szCs w:val="20"/>
        </w:rPr>
      </w:pPr>
      <w:r w:rsidRPr="0041028F">
        <w:rPr>
          <w:rFonts w:ascii="Tahoma" w:hAnsi="Tahoma" w:cs="Tahoma"/>
          <w:sz w:val="20"/>
          <w:szCs w:val="20"/>
        </w:rPr>
        <w:t>En el documento  3.2-  Equipamiento móvil se omitió las dimensiones de los siguientes muebles:</w:t>
      </w:r>
    </w:p>
    <w:p w14:paraId="46E71031" w14:textId="77777777" w:rsidR="0041028F" w:rsidRPr="0041028F" w:rsidRDefault="0041028F" w:rsidP="0041028F">
      <w:pPr>
        <w:spacing w:after="0"/>
        <w:jc w:val="both"/>
        <w:rPr>
          <w:rFonts w:ascii="Tahoma" w:hAnsi="Tahoma" w:cs="Tahoma"/>
          <w:b/>
          <w:sz w:val="20"/>
          <w:szCs w:val="20"/>
        </w:rPr>
      </w:pPr>
      <w:r w:rsidRPr="0041028F">
        <w:rPr>
          <w:rFonts w:ascii="Tahoma" w:hAnsi="Tahoma" w:cs="Tahoma"/>
          <w:b/>
          <w:sz w:val="20"/>
          <w:szCs w:val="20"/>
        </w:rPr>
        <w:t>1.23 SILLÓN</w:t>
      </w:r>
    </w:p>
    <w:p w14:paraId="2964FDD2" w14:textId="77777777" w:rsidR="0041028F" w:rsidRPr="0041028F" w:rsidRDefault="0041028F" w:rsidP="0041028F">
      <w:pPr>
        <w:jc w:val="both"/>
        <w:rPr>
          <w:rFonts w:ascii="Tahoma" w:hAnsi="Tahoma" w:cs="Tahoma"/>
          <w:sz w:val="20"/>
          <w:szCs w:val="20"/>
        </w:rPr>
      </w:pPr>
      <w:r w:rsidRPr="0041028F">
        <w:rPr>
          <w:rFonts w:ascii="Tahoma" w:hAnsi="Tahoma" w:cs="Tahoma"/>
          <w:sz w:val="20"/>
          <w:szCs w:val="20"/>
        </w:rPr>
        <w:t>Dimensiones: Ancho 55 cm, fondo 65 (del asiento), alturas: 23 la parte trasera del asiento, 35 la parte delantera del asiento. Respaldo de 44 cms, en un ángulo 107° con el asiento.</w:t>
      </w:r>
    </w:p>
    <w:p w14:paraId="226A28D9" w14:textId="77777777" w:rsidR="0041028F" w:rsidRPr="0041028F" w:rsidRDefault="0041028F" w:rsidP="0041028F">
      <w:pPr>
        <w:jc w:val="both"/>
        <w:rPr>
          <w:rFonts w:ascii="Tahoma" w:hAnsi="Tahoma" w:cs="Tahoma"/>
          <w:sz w:val="20"/>
          <w:szCs w:val="20"/>
        </w:rPr>
      </w:pPr>
      <w:r w:rsidRPr="0041028F">
        <w:rPr>
          <w:rFonts w:ascii="Tahoma" w:hAnsi="Tahoma" w:cs="Tahoma"/>
          <w:sz w:val="20"/>
          <w:szCs w:val="20"/>
        </w:rPr>
        <w:t>Material de asiento y respaldo: finger joint eucaliptus grandis, cepillado y tratado, espesor 1”</w:t>
      </w:r>
    </w:p>
    <w:p w14:paraId="70666976" w14:textId="77777777" w:rsidR="0041028F" w:rsidRDefault="0041028F" w:rsidP="009E191D">
      <w:pPr>
        <w:spacing w:after="0" w:line="240" w:lineRule="auto"/>
      </w:pPr>
      <w:r>
        <w:rPr>
          <w:noProof/>
          <w:lang w:val="es-UY" w:eastAsia="es-UY"/>
        </w:rPr>
        <mc:AlternateContent>
          <mc:Choice Requires="wps">
            <w:drawing>
              <wp:anchor distT="0" distB="0" distL="114300" distR="114300" simplePos="0" relativeHeight="251660288" behindDoc="0" locked="0" layoutInCell="1" allowOverlap="1" wp14:anchorId="017AAF27" wp14:editId="5A9E14D4">
                <wp:simplePos x="0" y="0"/>
                <wp:positionH relativeFrom="column">
                  <wp:posOffset>4628294</wp:posOffset>
                </wp:positionH>
                <wp:positionV relativeFrom="paragraph">
                  <wp:posOffset>272635</wp:posOffset>
                </wp:positionV>
                <wp:extent cx="601824" cy="83975"/>
                <wp:effectExtent l="0" t="0" r="27305" b="11430"/>
                <wp:wrapNone/>
                <wp:docPr id="5" name="5 Rectángulo"/>
                <wp:cNvGraphicFramePr/>
                <a:graphic xmlns:a="http://schemas.openxmlformats.org/drawingml/2006/main">
                  <a:graphicData uri="http://schemas.microsoft.com/office/word/2010/wordprocessingShape">
                    <wps:wsp>
                      <wps:cNvSpPr/>
                      <wps:spPr>
                        <a:xfrm>
                          <a:off x="0" y="0"/>
                          <a:ext cx="601824" cy="8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364.45pt;margin-top:21.45pt;width:47.4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" fillcolor="white [3212]" strokecolor="white [3212]" strokeweight="2pt"/>
            </w:pict>
          </mc:Fallback>
        </mc:AlternateContent>
      </w:r>
      <w:r>
        <w:rPr>
          <w:noProof/>
          <w:lang w:val="es-UY" w:eastAsia="es-UY"/>
        </w:rPr>
        <mc:AlternateContent>
          <mc:Choice Requires="wps">
            <w:drawing>
              <wp:anchor distT="0" distB="0" distL="114300" distR="114300" simplePos="0" relativeHeight="251659264" behindDoc="0" locked="0" layoutInCell="1" allowOverlap="1" wp14:anchorId="7D91E28D" wp14:editId="60AD4936">
                <wp:simplePos x="0" y="0"/>
                <wp:positionH relativeFrom="column">
                  <wp:posOffset>137510</wp:posOffset>
                </wp:positionH>
                <wp:positionV relativeFrom="paragraph">
                  <wp:posOffset>199779</wp:posOffset>
                </wp:positionV>
                <wp:extent cx="601824" cy="83975"/>
                <wp:effectExtent l="0" t="0" r="27305" b="11430"/>
                <wp:wrapNone/>
                <wp:docPr id="4" name="4 Rectángulo"/>
                <wp:cNvGraphicFramePr/>
                <a:graphic xmlns:a="http://schemas.openxmlformats.org/drawingml/2006/main">
                  <a:graphicData uri="http://schemas.microsoft.com/office/word/2010/wordprocessingShape">
                    <wps:wsp>
                      <wps:cNvSpPr/>
                      <wps:spPr>
                        <a:xfrm>
                          <a:off x="0" y="0"/>
                          <a:ext cx="601824" cy="8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10.85pt;margin-top:15.75pt;width:47.4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" fillcolor="white [3212]" strokecolor="white [3212]" strokeweight="2pt"/>
            </w:pict>
          </mc:Fallback>
        </mc:AlternateContent>
      </w:r>
      <w:r>
        <w:rPr>
          <w:noProof/>
          <w:lang w:val="es-UY" w:eastAsia="es-UY"/>
        </w:rPr>
        <w:drawing>
          <wp:inline distT="0" distB="0" distL="0" distR="0" wp14:anchorId="72DE7E8C" wp14:editId="5CA9AA35">
            <wp:extent cx="5400040" cy="20468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046858"/>
                    </a:xfrm>
                    <a:prstGeom prst="rect">
                      <a:avLst/>
                    </a:prstGeom>
                  </pic:spPr>
                </pic:pic>
              </a:graphicData>
            </a:graphic>
          </wp:inline>
        </w:drawing>
      </w:r>
    </w:p>
    <w:p w14:paraId="23E8B9C6" w14:textId="77777777" w:rsidR="0041028F" w:rsidRDefault="0041028F" w:rsidP="0041028F">
      <w:pPr>
        <w:spacing w:after="0"/>
        <w:rPr>
          <w:i/>
        </w:rPr>
      </w:pPr>
      <w:r w:rsidRPr="007B2686">
        <w:rPr>
          <w:i/>
        </w:rPr>
        <w:t>Croquis de referencia.</w:t>
      </w:r>
    </w:p>
    <w:p w14:paraId="2F4D132F" w14:textId="77777777" w:rsidR="009E191D" w:rsidRDefault="009E191D" w:rsidP="0041028F">
      <w:pPr>
        <w:spacing w:after="0"/>
        <w:rPr>
          <w:i/>
        </w:rPr>
      </w:pPr>
    </w:p>
    <w:p w14:paraId="322B959B" w14:textId="7FEF0316" w:rsidR="0041028F" w:rsidRPr="0041028F" w:rsidRDefault="0041028F" w:rsidP="0041028F">
      <w:pPr>
        <w:spacing w:after="0"/>
        <w:jc w:val="both"/>
        <w:rPr>
          <w:rFonts w:ascii="Tahoma" w:hAnsi="Tahoma" w:cs="Tahoma"/>
          <w:b/>
          <w:sz w:val="20"/>
          <w:szCs w:val="20"/>
        </w:rPr>
      </w:pPr>
      <w:r w:rsidRPr="0041028F">
        <w:rPr>
          <w:rFonts w:ascii="Tahoma" w:hAnsi="Tahoma" w:cs="Tahoma"/>
          <w:b/>
          <w:sz w:val="20"/>
          <w:szCs w:val="20"/>
        </w:rPr>
        <w:t>1.30</w:t>
      </w:r>
      <w:r w:rsidR="00CA1440">
        <w:rPr>
          <w:rFonts w:ascii="Tahoma" w:hAnsi="Tahoma" w:cs="Tahoma"/>
          <w:b/>
          <w:sz w:val="20"/>
          <w:szCs w:val="20"/>
        </w:rPr>
        <w:t xml:space="preserve"> Banco 1:</w:t>
      </w:r>
      <w:r w:rsidRPr="0041028F">
        <w:rPr>
          <w:rFonts w:ascii="Tahoma" w:hAnsi="Tahoma" w:cs="Tahoma"/>
          <w:b/>
          <w:sz w:val="20"/>
          <w:szCs w:val="20"/>
        </w:rPr>
        <w:t xml:space="preserve"> BANCO INDIVIDUAL  (exterior)</w:t>
      </w:r>
    </w:p>
    <w:p w14:paraId="4D172962" w14:textId="3456F3B3" w:rsidR="0041028F" w:rsidRDefault="0041028F" w:rsidP="0041028F">
      <w:r w:rsidRPr="00DB2FA4">
        <w:rPr>
          <w:u w:val="single"/>
        </w:rPr>
        <w:t>Dimensiones</w:t>
      </w:r>
      <w:r>
        <w:t>:</w:t>
      </w:r>
      <w:r w:rsidR="00CA1440">
        <w:t xml:space="preserve"> Largo</w:t>
      </w:r>
      <w:r>
        <w:t xml:space="preserve"> 57 cm, fondo: 54 cm incluye respaldo (ancho del asiento: 27 cm), altura: asiento  45 cm, total 73 cm. Respaldo en ángulo 107° con el asiento.</w:t>
      </w:r>
      <w:r w:rsidR="00CA1440">
        <w:t xml:space="preserve"> Ver Cortes</w:t>
      </w:r>
    </w:p>
    <w:p w14:paraId="0C9B78C9" w14:textId="395606FD" w:rsidR="0041028F" w:rsidRDefault="0041028F" w:rsidP="0041028F">
      <w:r>
        <w:t>Material de asiento y respaldo: madera de lapacho cepillado, y tratado</w:t>
      </w:r>
      <w:r w:rsidRPr="009711D6">
        <w:t xml:space="preserve"> </w:t>
      </w:r>
      <w:r w:rsidR="00CA1440">
        <w:t>para intemperie,</w:t>
      </w:r>
      <w:r>
        <w:t xml:space="preserve"> espesor 1”.</w:t>
      </w:r>
    </w:p>
    <w:p w14:paraId="0E3F3B3C" w14:textId="77777777" w:rsidR="009E191D" w:rsidRDefault="0041028F" w:rsidP="009E191D">
      <w:pPr>
        <w:spacing w:after="0" w:line="240" w:lineRule="auto"/>
        <w:rPr>
          <w:i/>
        </w:rPr>
      </w:pPr>
      <w:r>
        <w:rPr>
          <w:noProof/>
          <w:lang w:val="es-UY" w:eastAsia="es-UY"/>
        </w:rPr>
        <w:drawing>
          <wp:inline distT="0" distB="0" distL="0" distR="0" wp14:anchorId="73F39BED" wp14:editId="63B1C9C8">
            <wp:extent cx="5400040" cy="1762131"/>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1762131"/>
                    </a:xfrm>
                    <a:prstGeom prst="rect">
                      <a:avLst/>
                    </a:prstGeom>
                  </pic:spPr>
                </pic:pic>
              </a:graphicData>
            </a:graphic>
          </wp:inline>
        </w:drawing>
      </w:r>
    </w:p>
    <w:p w14:paraId="76A13698" w14:textId="2AD01316" w:rsidR="0041028F" w:rsidRPr="007B2686" w:rsidRDefault="0041028F" w:rsidP="0041028F">
      <w:pPr>
        <w:rPr>
          <w:i/>
        </w:rPr>
      </w:pPr>
      <w:r w:rsidRPr="007B2686">
        <w:rPr>
          <w:i/>
        </w:rPr>
        <w:t>Croquis de referencia.</w:t>
      </w:r>
    </w:p>
    <w:p w14:paraId="375A518A" w14:textId="77777777" w:rsidR="0041028F" w:rsidRPr="0041028F" w:rsidRDefault="0041028F" w:rsidP="0041028F">
      <w:pPr>
        <w:spacing w:after="0"/>
        <w:jc w:val="both"/>
        <w:rPr>
          <w:rFonts w:ascii="Tahoma" w:hAnsi="Tahoma" w:cs="Tahoma"/>
          <w:b/>
          <w:sz w:val="20"/>
          <w:szCs w:val="20"/>
        </w:rPr>
      </w:pPr>
      <w:r w:rsidRPr="0041028F">
        <w:rPr>
          <w:rFonts w:ascii="Tahoma" w:hAnsi="Tahoma" w:cs="Tahoma"/>
          <w:b/>
          <w:sz w:val="20"/>
          <w:szCs w:val="20"/>
        </w:rPr>
        <w:lastRenderedPageBreak/>
        <w:t>1.31 Banco 2: BANCO LARGO  (exterior)</w:t>
      </w:r>
    </w:p>
    <w:p w14:paraId="1EF6DD39" w14:textId="77777777" w:rsidR="0041028F" w:rsidRDefault="0041028F" w:rsidP="0041028F">
      <w:pPr>
        <w:spacing w:after="0"/>
      </w:pPr>
      <w:r w:rsidRPr="00EC5CBC">
        <w:rPr>
          <w:u w:val="single"/>
        </w:rPr>
        <w:t>Dimensiones</w:t>
      </w:r>
      <w:r>
        <w:t>: largo 188 cm. Ver cortes.</w:t>
      </w:r>
    </w:p>
    <w:p w14:paraId="7F918F1F" w14:textId="77777777" w:rsidR="0041028F" w:rsidRDefault="0041028F" w:rsidP="0041028F">
      <w:r>
        <w:t>Material de asiento y respaldo: madera de lapacho cepillado y tratado para intemperie, espesor 1”.</w:t>
      </w:r>
    </w:p>
    <w:p w14:paraId="0E2C9A0A" w14:textId="77777777" w:rsidR="0041028F" w:rsidRDefault="0041028F" w:rsidP="009E191D">
      <w:pPr>
        <w:spacing w:after="0" w:line="240" w:lineRule="auto"/>
      </w:pPr>
      <w:r>
        <w:rPr>
          <w:noProof/>
          <w:lang w:val="es-UY" w:eastAsia="es-UY"/>
        </w:rPr>
        <w:drawing>
          <wp:inline distT="0" distB="0" distL="0" distR="0" wp14:anchorId="3696F312" wp14:editId="57F7C537">
            <wp:extent cx="5400040" cy="1762131"/>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1762131"/>
                    </a:xfrm>
                    <a:prstGeom prst="rect">
                      <a:avLst/>
                    </a:prstGeom>
                  </pic:spPr>
                </pic:pic>
              </a:graphicData>
            </a:graphic>
          </wp:inline>
        </w:drawing>
      </w:r>
    </w:p>
    <w:p w14:paraId="601E3C2F" w14:textId="77777777" w:rsidR="0041028F" w:rsidRPr="007B2686" w:rsidRDefault="0041028F" w:rsidP="0041028F">
      <w:pPr>
        <w:rPr>
          <w:i/>
        </w:rPr>
      </w:pPr>
      <w:r w:rsidRPr="007B2686">
        <w:rPr>
          <w:i/>
        </w:rPr>
        <w:t>Croquis de referencia.</w:t>
      </w:r>
    </w:p>
    <w:p w14:paraId="21A6539B" w14:textId="77777777" w:rsidR="0041028F" w:rsidRPr="0041028F" w:rsidRDefault="0041028F" w:rsidP="0041028F">
      <w:pPr>
        <w:spacing w:after="0"/>
        <w:jc w:val="both"/>
        <w:rPr>
          <w:rFonts w:ascii="Tahoma" w:hAnsi="Tahoma" w:cs="Tahoma"/>
          <w:b/>
          <w:sz w:val="20"/>
          <w:szCs w:val="20"/>
        </w:rPr>
      </w:pPr>
      <w:r w:rsidRPr="0041028F">
        <w:rPr>
          <w:rFonts w:ascii="Tahoma" w:hAnsi="Tahoma" w:cs="Tahoma"/>
          <w:b/>
          <w:sz w:val="20"/>
          <w:szCs w:val="20"/>
        </w:rPr>
        <w:t>2.12 MESA EXTERIOR</w:t>
      </w:r>
    </w:p>
    <w:p w14:paraId="04E21324" w14:textId="77777777" w:rsidR="0041028F" w:rsidRDefault="0041028F" w:rsidP="0041028F">
      <w:pPr>
        <w:spacing w:after="0"/>
      </w:pPr>
      <w:r w:rsidRPr="00EC5CBC">
        <w:rPr>
          <w:u w:val="single"/>
        </w:rPr>
        <w:t>Dimensiones</w:t>
      </w:r>
      <w:r>
        <w:t>: 70 cm x 80 cm. Altura 70 cm.</w:t>
      </w:r>
    </w:p>
    <w:p w14:paraId="7004F789" w14:textId="77777777" w:rsidR="0041028F" w:rsidRDefault="0041028F" w:rsidP="0041028F">
      <w:r>
        <w:t>Material de la superficie: madera de lapacho cepillado y tratado para intemperie, espesor 2”</w:t>
      </w:r>
    </w:p>
    <w:p w14:paraId="09992A19" w14:textId="77777777" w:rsidR="0041028F" w:rsidRDefault="0041028F" w:rsidP="0041028F">
      <w:r>
        <w:rPr>
          <w:noProof/>
          <w:lang w:val="es-UY" w:eastAsia="es-UY"/>
        </w:rPr>
        <w:drawing>
          <wp:anchor distT="0" distB="0" distL="114300" distR="114300" simplePos="0" relativeHeight="251661312" behindDoc="0" locked="0" layoutInCell="1" allowOverlap="1" wp14:anchorId="5755BA5A" wp14:editId="20D31186">
            <wp:simplePos x="0" y="0"/>
            <wp:positionH relativeFrom="column">
              <wp:posOffset>-35644</wp:posOffset>
            </wp:positionH>
            <wp:positionV relativeFrom="paragraph">
              <wp:posOffset>171146</wp:posOffset>
            </wp:positionV>
            <wp:extent cx="5931673" cy="1712777"/>
            <wp:effectExtent l="0" t="0" r="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28842" cy="1711960"/>
                    </a:xfrm>
                    <a:prstGeom prst="rect">
                      <a:avLst/>
                    </a:prstGeom>
                  </pic:spPr>
                </pic:pic>
              </a:graphicData>
            </a:graphic>
            <wp14:sizeRelH relativeFrom="page">
              <wp14:pctWidth>0</wp14:pctWidth>
            </wp14:sizeRelH>
            <wp14:sizeRelV relativeFrom="page">
              <wp14:pctHeight>0</wp14:pctHeight>
            </wp14:sizeRelV>
          </wp:anchor>
        </w:drawing>
      </w:r>
    </w:p>
    <w:p w14:paraId="53F0C724" w14:textId="77777777" w:rsidR="0041028F" w:rsidRDefault="0041028F" w:rsidP="0041028F">
      <w:r>
        <w:rPr>
          <w:noProof/>
          <w:lang w:val="es-UY" w:eastAsia="es-UY"/>
        </w:rPr>
        <mc:AlternateContent>
          <mc:Choice Requires="wps">
            <w:drawing>
              <wp:anchor distT="0" distB="0" distL="114300" distR="114300" simplePos="0" relativeHeight="251664384" behindDoc="0" locked="0" layoutInCell="1" allowOverlap="1" wp14:anchorId="00C3EE2D" wp14:editId="7794E725">
                <wp:simplePos x="0" y="0"/>
                <wp:positionH relativeFrom="column">
                  <wp:posOffset>4782327</wp:posOffset>
                </wp:positionH>
                <wp:positionV relativeFrom="paragraph">
                  <wp:posOffset>34459</wp:posOffset>
                </wp:positionV>
                <wp:extent cx="443204" cy="93306"/>
                <wp:effectExtent l="0" t="0" r="14605" b="21590"/>
                <wp:wrapNone/>
                <wp:docPr id="9" name="9 Rectángulo"/>
                <wp:cNvGraphicFramePr/>
                <a:graphic xmlns:a="http://schemas.openxmlformats.org/drawingml/2006/main">
                  <a:graphicData uri="http://schemas.microsoft.com/office/word/2010/wordprocessingShape">
                    <wps:wsp>
                      <wps:cNvSpPr/>
                      <wps:spPr>
                        <a:xfrm>
                          <a:off x="0" y="0"/>
                          <a:ext cx="443204" cy="933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376.55pt;margin-top:2.7pt;width:34.9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" fillcolor="white [3212]" strokecolor="white [3212]" strokeweight="2pt"/>
            </w:pict>
          </mc:Fallback>
        </mc:AlternateContent>
      </w:r>
      <w:r>
        <w:rPr>
          <w:noProof/>
          <w:lang w:val="es-UY" w:eastAsia="es-UY"/>
        </w:rPr>
        <mc:AlternateContent>
          <mc:Choice Requires="wps">
            <w:drawing>
              <wp:anchor distT="0" distB="0" distL="114300" distR="114300" simplePos="0" relativeHeight="251663360" behindDoc="0" locked="0" layoutInCell="1" allowOverlap="1" wp14:anchorId="26747C7E" wp14:editId="5DD8AAFD">
                <wp:simplePos x="0" y="0"/>
                <wp:positionH relativeFrom="column">
                  <wp:posOffset>2290963</wp:posOffset>
                </wp:positionH>
                <wp:positionV relativeFrom="paragraph">
                  <wp:posOffset>31426</wp:posOffset>
                </wp:positionV>
                <wp:extent cx="443204" cy="93306"/>
                <wp:effectExtent l="0" t="0" r="14605" b="21590"/>
                <wp:wrapNone/>
                <wp:docPr id="8" name="8 Rectángulo"/>
                <wp:cNvGraphicFramePr/>
                <a:graphic xmlns:a="http://schemas.openxmlformats.org/drawingml/2006/main">
                  <a:graphicData uri="http://schemas.microsoft.com/office/word/2010/wordprocessingShape">
                    <wps:wsp>
                      <wps:cNvSpPr/>
                      <wps:spPr>
                        <a:xfrm>
                          <a:off x="0" y="0"/>
                          <a:ext cx="443204" cy="933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180.4pt;margin-top:2.45pt;width:34.9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" fillcolor="white [3212]" strokecolor="white [3212]" strokeweight="2pt"/>
            </w:pict>
          </mc:Fallback>
        </mc:AlternateContent>
      </w:r>
      <w:r>
        <w:rPr>
          <w:noProof/>
          <w:lang w:val="es-UY" w:eastAsia="es-UY"/>
        </w:rPr>
        <mc:AlternateContent>
          <mc:Choice Requires="wps">
            <w:drawing>
              <wp:anchor distT="0" distB="0" distL="114300" distR="114300" simplePos="0" relativeHeight="251662336" behindDoc="0" locked="0" layoutInCell="1" allowOverlap="1" wp14:anchorId="5C24951C" wp14:editId="02792DEA">
                <wp:simplePos x="0" y="0"/>
                <wp:positionH relativeFrom="column">
                  <wp:posOffset>-35106</wp:posOffset>
                </wp:positionH>
                <wp:positionV relativeFrom="paragraph">
                  <wp:posOffset>32735</wp:posOffset>
                </wp:positionV>
                <wp:extent cx="443204" cy="93306"/>
                <wp:effectExtent l="0" t="0" r="14605" b="21590"/>
                <wp:wrapNone/>
                <wp:docPr id="7" name="7 Rectángulo"/>
                <wp:cNvGraphicFramePr/>
                <a:graphic xmlns:a="http://schemas.openxmlformats.org/drawingml/2006/main">
                  <a:graphicData uri="http://schemas.microsoft.com/office/word/2010/wordprocessingShape">
                    <wps:wsp>
                      <wps:cNvSpPr/>
                      <wps:spPr>
                        <a:xfrm>
                          <a:off x="0" y="0"/>
                          <a:ext cx="443204" cy="933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2.75pt;margin-top:2.6pt;width:34.9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" fillcolor="white [3212]" strokecolor="white [3212]" strokeweight="2pt"/>
            </w:pict>
          </mc:Fallback>
        </mc:AlternateContent>
      </w:r>
    </w:p>
    <w:p w14:paraId="5714838C" w14:textId="77777777" w:rsidR="0041028F" w:rsidRDefault="0041028F" w:rsidP="0041028F">
      <w:pPr>
        <w:rPr>
          <w:i/>
        </w:rPr>
      </w:pPr>
    </w:p>
    <w:p w14:paraId="49077909" w14:textId="77777777" w:rsidR="0041028F" w:rsidRDefault="0041028F" w:rsidP="0041028F">
      <w:pPr>
        <w:rPr>
          <w:i/>
        </w:rPr>
      </w:pPr>
    </w:p>
    <w:p w14:paraId="3EBB2CAE" w14:textId="77777777" w:rsidR="0041028F" w:rsidRDefault="0041028F" w:rsidP="0041028F">
      <w:pPr>
        <w:rPr>
          <w:i/>
        </w:rPr>
      </w:pPr>
    </w:p>
    <w:p w14:paraId="2DADE3F5" w14:textId="77777777" w:rsidR="0041028F" w:rsidRDefault="0041028F" w:rsidP="0041028F">
      <w:pPr>
        <w:rPr>
          <w:i/>
        </w:rPr>
      </w:pPr>
    </w:p>
    <w:p w14:paraId="6F6E0083" w14:textId="77777777" w:rsidR="0041028F" w:rsidRDefault="0041028F" w:rsidP="0041028F">
      <w:pPr>
        <w:rPr>
          <w:i/>
        </w:rPr>
      </w:pPr>
      <w:r w:rsidRPr="007B2686">
        <w:rPr>
          <w:i/>
        </w:rPr>
        <w:t>Croquis de referencia.</w:t>
      </w:r>
    </w:p>
    <w:p w14:paraId="79E753A6" w14:textId="15CA9643" w:rsidR="00B5246B" w:rsidRDefault="00B5246B" w:rsidP="00B5246B">
      <w:pPr>
        <w:spacing w:after="0"/>
        <w:jc w:val="both"/>
        <w:rPr>
          <w:b/>
          <w:caps/>
          <w:sz w:val="28"/>
          <w:szCs w:val="28"/>
          <w:u w:val="single"/>
        </w:rPr>
      </w:pPr>
      <w:r>
        <w:rPr>
          <w:b/>
          <w:caps/>
          <w:sz w:val="28"/>
          <w:szCs w:val="28"/>
          <w:u w:val="single"/>
        </w:rPr>
        <w:t>Puntualización 3</w:t>
      </w:r>
    </w:p>
    <w:p w14:paraId="57F44A55" w14:textId="2F997791" w:rsidR="00B5246B" w:rsidRPr="00876391" w:rsidRDefault="00876391" w:rsidP="0041028F">
      <w:r w:rsidRPr="00876391">
        <w:t>Proyecto de Contrato -Clausula 5.2.4</w:t>
      </w:r>
    </w:p>
    <w:p w14:paraId="2D8CC57A" w14:textId="0C809DF5" w:rsidR="00876391" w:rsidRPr="009E191D" w:rsidRDefault="00876391" w:rsidP="00876391">
      <w:pPr>
        <w:spacing w:after="0" w:line="240" w:lineRule="auto"/>
        <w:jc w:val="both"/>
        <w:rPr>
          <w:rFonts w:ascii="Calibri" w:hAnsi="Calibri" w:cs="Calibri"/>
          <w:b/>
          <w:u w:val="single"/>
        </w:rPr>
      </w:pPr>
      <w:r w:rsidRPr="009E191D">
        <w:rPr>
          <w:rFonts w:ascii="Calibri" w:hAnsi="Calibri" w:cs="Calibri"/>
          <w:b/>
          <w:u w:val="single"/>
        </w:rPr>
        <w:t xml:space="preserve">Donde dice: </w:t>
      </w:r>
    </w:p>
    <w:p w14:paraId="62EEA88F" w14:textId="1A4CD3E9" w:rsidR="009E191D" w:rsidRPr="009E191D" w:rsidRDefault="009E191D" w:rsidP="009E191D">
      <w:r>
        <w:t>“</w:t>
      </w:r>
      <w:r w:rsidRPr="009E191D">
        <w:t>Si durante el desarrollo del contrato se produce cualquier hallazgo de restos arqueológicos, así como descubrimientos paleontológicos, la Contratista deberá tomar todas las medidas necesarias para la preservación de los restos encontrados. Asimismo, deberá informar de manera inmediata al Supervisor del Contrato.</w:t>
      </w:r>
    </w:p>
    <w:p w14:paraId="78C56A29" w14:textId="77777777" w:rsidR="009E191D" w:rsidRPr="009E191D" w:rsidRDefault="009E191D" w:rsidP="009E191D">
      <w:r w:rsidRPr="009E191D">
        <w:t>El Supervisor del Contrato informará a las autoridades correspondientes e instruirá al Contratista sobre el correcto tratamiento de los restos.</w:t>
      </w:r>
    </w:p>
    <w:p w14:paraId="0FC08E7E" w14:textId="5269DAAD" w:rsidR="00876391" w:rsidRPr="009E191D" w:rsidRDefault="009E191D" w:rsidP="009E191D">
      <w:r w:rsidRPr="009E191D">
        <w:t>El costo para la Contratista de las operaciones derivadas del tratamiento del hallazgo será retribuido por la APC y en caso de corresponder, será incorporado al Precio Final Reconocido de la obra en la cual se produjo el hallazgo. La forma de retribución podrá implicar la modificación del contrato, de acuerdo a la cláusula</w:t>
      </w:r>
      <w:r w:rsidR="00B54C6C">
        <w:t xml:space="preserve"> 14.3</w:t>
      </w:r>
      <w:r w:rsidRPr="009E191D">
        <w:t xml:space="preserve">. En caso de que las medidas adoptadas para el correcto tratamiento del hallazgo impliquen la paralización o el retraso de las obras durante un determinado período, el mismo será también </w:t>
      </w:r>
      <w:r w:rsidRPr="009E191D">
        <w:lastRenderedPageBreak/>
        <w:t xml:space="preserve">reconocido a la Sociedad Contratista en ocasión de la modificación del contrato por esta causa, que se ajustará a lo establecido en la Cláusula </w:t>
      </w:r>
      <w:r w:rsidR="00B54C6C">
        <w:t xml:space="preserve">14. 2 </w:t>
      </w:r>
      <w:r w:rsidRPr="009E191D">
        <w:t>del presente contrato</w:t>
      </w:r>
      <w:r>
        <w:t>”</w:t>
      </w:r>
    </w:p>
    <w:p w14:paraId="69273750" w14:textId="2081DE9B" w:rsidR="00876391" w:rsidRPr="009E191D" w:rsidRDefault="00876391" w:rsidP="00876391">
      <w:pPr>
        <w:spacing w:after="0" w:line="240" w:lineRule="auto"/>
        <w:jc w:val="both"/>
        <w:rPr>
          <w:rFonts w:ascii="Calibri" w:hAnsi="Calibri" w:cs="Calibri"/>
          <w:b/>
          <w:u w:val="single"/>
        </w:rPr>
      </w:pPr>
      <w:r w:rsidRPr="009E191D">
        <w:rPr>
          <w:rFonts w:ascii="Calibri" w:hAnsi="Calibri" w:cs="Calibri"/>
          <w:b/>
          <w:u w:val="single"/>
        </w:rPr>
        <w:t xml:space="preserve">Debe decir: </w:t>
      </w:r>
    </w:p>
    <w:p w14:paraId="010C3D38" w14:textId="0FD4345C" w:rsidR="002F09DF" w:rsidRPr="00876391" w:rsidRDefault="00876391" w:rsidP="002F09DF">
      <w:pPr>
        <w:jc w:val="both"/>
        <w:rPr>
          <w:rFonts w:ascii="Calibri" w:hAnsi="Calibri" w:cs="Calibri"/>
        </w:rPr>
      </w:pPr>
      <w:r>
        <w:rPr>
          <w:rFonts w:ascii="Calibri" w:hAnsi="Calibri" w:cs="Calibri"/>
        </w:rPr>
        <w:t>“</w:t>
      </w:r>
      <w:r w:rsidR="002F09DF" w:rsidRPr="00876391">
        <w:rPr>
          <w:rFonts w:ascii="Calibri" w:hAnsi="Calibri" w:cs="Calibri"/>
        </w:rPr>
        <w:t>Si durante el desarrollo del Contrato se produce cualquier hallazgo de restos arqueológicos</w:t>
      </w:r>
      <w:r w:rsidR="00E87EA7">
        <w:rPr>
          <w:rFonts w:ascii="Calibri" w:hAnsi="Calibri" w:cs="Calibri"/>
        </w:rPr>
        <w:t>, así como descubrimientos pale</w:t>
      </w:r>
      <w:r w:rsidR="002F09DF" w:rsidRPr="00876391">
        <w:rPr>
          <w:rFonts w:ascii="Calibri" w:hAnsi="Calibri" w:cs="Calibri"/>
        </w:rPr>
        <w:t>ontológicos, la Contratista deberá tomar todas las medidas necesarias para la preservación de los restos encontrados. Asimismo, deberá informar de manera inmediata al Supervisor del Contrato.</w:t>
      </w:r>
    </w:p>
    <w:p w14:paraId="4D954EC1" w14:textId="77777777" w:rsidR="002F09DF" w:rsidRPr="00876391" w:rsidRDefault="002F09DF" w:rsidP="002F09DF">
      <w:pPr>
        <w:spacing w:after="180"/>
        <w:jc w:val="both"/>
        <w:rPr>
          <w:rFonts w:ascii="Calibri" w:hAnsi="Calibri" w:cs="Calibri"/>
        </w:rPr>
      </w:pPr>
      <w:r w:rsidRPr="00876391">
        <w:rPr>
          <w:rFonts w:ascii="Calibri" w:hAnsi="Calibri" w:cs="Calibri"/>
        </w:rPr>
        <w:t>El Supervisor del Contrato informará a las autoridades correspondientes e instruirá a la Sociedad Contratista sobre el correcto tratamiento de los restos.</w:t>
      </w:r>
    </w:p>
    <w:p w14:paraId="73FB31E8" w14:textId="6B19471E" w:rsidR="002F09DF" w:rsidRPr="00B924F5" w:rsidRDefault="002F09DF" w:rsidP="002F09DF">
      <w:pPr>
        <w:spacing w:after="257"/>
        <w:jc w:val="both"/>
        <w:rPr>
          <w:rFonts w:ascii="Calibri" w:hAnsi="Calibri" w:cs="Calibri"/>
        </w:rPr>
      </w:pPr>
      <w:r w:rsidRPr="00876391">
        <w:rPr>
          <w:rFonts w:ascii="Calibri" w:hAnsi="Calibri" w:cs="Calibri"/>
        </w:rPr>
        <w:t xml:space="preserve">El costo para la Contratista de las operaciones derivadas del tratamiento del hallazgo será retribuido por la APC a la Contratista </w:t>
      </w:r>
      <w:r w:rsidRPr="00876391">
        <w:rPr>
          <w:rFonts w:ascii="Calibri" w:hAnsi="Calibri"/>
        </w:rPr>
        <w:t>y en caso de corresponder,</w:t>
      </w:r>
      <w:r w:rsidRPr="00876391">
        <w:rPr>
          <w:rFonts w:ascii="Calibri" w:hAnsi="Calibri" w:cs="Calibri"/>
        </w:rPr>
        <w:t xml:space="preserve"> será incorporado al Precio Final Reconocido de </w:t>
      </w:r>
      <w:r w:rsidRPr="00876391">
        <w:rPr>
          <w:rFonts w:ascii="Calibri" w:hAnsi="Calibri"/>
        </w:rPr>
        <w:t>la obra</w:t>
      </w:r>
      <w:r w:rsidRPr="00876391">
        <w:rPr>
          <w:rFonts w:ascii="Calibri" w:hAnsi="Calibri" w:cs="Calibri"/>
        </w:rPr>
        <w:t xml:space="preserve"> en </w:t>
      </w:r>
      <w:r w:rsidRPr="00876391">
        <w:rPr>
          <w:rFonts w:ascii="Calibri" w:hAnsi="Calibri"/>
        </w:rPr>
        <w:t>la</w:t>
      </w:r>
      <w:r w:rsidRPr="00876391">
        <w:rPr>
          <w:rFonts w:ascii="Calibri" w:hAnsi="Calibri" w:cs="Calibri"/>
        </w:rPr>
        <w:t xml:space="preserve"> cual se produjo el hallazgo. La forma de retribución </w:t>
      </w:r>
      <w:r w:rsidRPr="00876391">
        <w:rPr>
          <w:rFonts w:ascii="Calibri" w:hAnsi="Calibri"/>
        </w:rPr>
        <w:t>podrá implicar</w:t>
      </w:r>
      <w:r w:rsidRPr="00876391">
        <w:rPr>
          <w:rFonts w:ascii="Calibri" w:hAnsi="Calibri" w:cs="Calibri"/>
        </w:rPr>
        <w:t xml:space="preserve"> la modificación del </w:t>
      </w:r>
      <w:r w:rsidRPr="00876391">
        <w:rPr>
          <w:rFonts w:ascii="Calibri" w:hAnsi="Calibri"/>
        </w:rPr>
        <w:t>Contrato</w:t>
      </w:r>
      <w:r w:rsidRPr="00876391">
        <w:rPr>
          <w:rFonts w:ascii="Calibri" w:hAnsi="Calibri" w:cs="Calibri"/>
        </w:rPr>
        <w:t>, de</w:t>
      </w:r>
      <w:r w:rsidRPr="00B924F5">
        <w:rPr>
          <w:rFonts w:ascii="Calibri" w:hAnsi="Calibri" w:cs="Calibri"/>
        </w:rPr>
        <w:t xml:space="preserve"> acuerdo a la cláusula</w:t>
      </w:r>
      <w:r w:rsidR="00B54C6C">
        <w:t xml:space="preserve"> 14. 3 </w:t>
      </w:r>
      <w:r w:rsidRPr="00BC6F69">
        <w:rPr>
          <w:rFonts w:ascii="Calibri" w:hAnsi="Calibri"/>
        </w:rPr>
        <w:t>que incluye los costos y gastos de administración.</w:t>
      </w:r>
      <w:r>
        <w:rPr>
          <w:rFonts w:ascii="Calibri" w:hAnsi="Calibri"/>
        </w:rPr>
        <w:t xml:space="preserve"> </w:t>
      </w:r>
      <w:r w:rsidRPr="00B924F5">
        <w:rPr>
          <w:rFonts w:ascii="Calibri" w:hAnsi="Calibri" w:cs="Calibri"/>
        </w:rPr>
        <w:t>En caso de que las</w:t>
      </w:r>
      <w:r>
        <w:rPr>
          <w:rFonts w:ascii="Calibri" w:hAnsi="Calibri" w:cs="Calibri"/>
        </w:rPr>
        <w:t xml:space="preserve"> </w:t>
      </w:r>
      <w:r w:rsidRPr="00B924F5">
        <w:rPr>
          <w:rFonts w:ascii="Calibri" w:hAnsi="Calibri" w:cs="Calibri"/>
        </w:rPr>
        <w:t xml:space="preserve">medidas adoptadas para el correcto tratamiento del hallazgo impliquen la paralización o el retraso de las obras durante un determinado período, el mismo será también reconocido a la Sociedad Contratista en ocasión de la modificación del </w:t>
      </w:r>
      <w:r>
        <w:rPr>
          <w:rFonts w:ascii="Calibri" w:hAnsi="Calibri" w:cs="Calibri"/>
        </w:rPr>
        <w:t>Contrato</w:t>
      </w:r>
      <w:r w:rsidRPr="00B924F5">
        <w:rPr>
          <w:rFonts w:ascii="Calibri" w:hAnsi="Calibri" w:cs="Calibri"/>
        </w:rPr>
        <w:t xml:space="preserve"> por esta causa, </w:t>
      </w:r>
      <w:r>
        <w:rPr>
          <w:rFonts w:ascii="Calibri" w:hAnsi="Calibri" w:cs="Calibri"/>
        </w:rPr>
        <w:t>cuya compensación se calculará en la forma establecida en</w:t>
      </w:r>
      <w:r w:rsidRPr="00B924F5">
        <w:rPr>
          <w:rFonts w:ascii="Calibri" w:hAnsi="Calibri" w:cs="Calibri"/>
        </w:rPr>
        <w:t xml:space="preserve"> la cláusula</w:t>
      </w:r>
      <w:hyperlink w:anchor="bookmark93" w:tooltip="Current Document">
        <w:r w:rsidRPr="00B924F5">
          <w:rPr>
            <w:rFonts w:ascii="Calibri" w:hAnsi="Calibri" w:cs="Calibri"/>
          </w:rPr>
          <w:t xml:space="preserve"> 14.2 </w:t>
        </w:r>
      </w:hyperlink>
      <w:r w:rsidRPr="00B924F5">
        <w:rPr>
          <w:rFonts w:ascii="Calibri" w:hAnsi="Calibri" w:cs="Calibri"/>
        </w:rPr>
        <w:t>del presente Contrato.</w:t>
      </w:r>
      <w:r w:rsidR="00876391">
        <w:rPr>
          <w:rFonts w:ascii="Calibri" w:hAnsi="Calibri" w:cs="Calibri"/>
        </w:rPr>
        <w:t>”</w:t>
      </w:r>
    </w:p>
    <w:p w14:paraId="3716600C" w14:textId="77777777" w:rsidR="00A47B46" w:rsidRDefault="00A47B46" w:rsidP="00A47B46">
      <w:pPr>
        <w:jc w:val="both"/>
        <w:rPr>
          <w:b/>
        </w:rPr>
      </w:pPr>
      <w:r w:rsidRPr="00111C66">
        <w:rPr>
          <w:b/>
        </w:rPr>
        <w:t>Se han recibido las siguientes consultas a las cuales se procede a dar respuesta:</w:t>
      </w:r>
    </w:p>
    <w:p w14:paraId="514BE512" w14:textId="77777777" w:rsidR="00057F88" w:rsidRPr="00057F88" w:rsidRDefault="00057F88" w:rsidP="00057F88">
      <w:pPr>
        <w:spacing w:after="0"/>
        <w:jc w:val="both"/>
        <w:rPr>
          <w:b/>
          <w:caps/>
          <w:sz w:val="28"/>
          <w:szCs w:val="28"/>
          <w:u w:val="single"/>
        </w:rPr>
      </w:pPr>
      <w:r w:rsidRPr="00057F88">
        <w:rPr>
          <w:b/>
          <w:caps/>
          <w:sz w:val="28"/>
          <w:szCs w:val="28"/>
          <w:u w:val="single"/>
        </w:rPr>
        <w:t>CONSULTA 1</w:t>
      </w:r>
    </w:p>
    <w:p w14:paraId="679FB79B" w14:textId="77777777" w:rsidR="00057F88" w:rsidRPr="00057F88" w:rsidRDefault="00057F88" w:rsidP="00057F88">
      <w:pPr>
        <w:spacing w:line="240" w:lineRule="auto"/>
        <w:contextualSpacing/>
        <w:jc w:val="both"/>
        <w:rPr>
          <w:rFonts w:ascii="Tahoma" w:hAnsi="Tahoma" w:cs="Tahoma"/>
          <w:sz w:val="20"/>
          <w:szCs w:val="20"/>
        </w:rPr>
      </w:pPr>
      <w:r w:rsidRPr="00057F88">
        <w:rPr>
          <w:rFonts w:ascii="Tahoma" w:hAnsi="Tahoma" w:cs="Tahoma"/>
          <w:sz w:val="20"/>
          <w:szCs w:val="20"/>
        </w:rPr>
        <w:t>Se solicita por favor especificar cuál es la situación dominial actual de cada uno de los predios.</w:t>
      </w:r>
    </w:p>
    <w:p w14:paraId="7553ADDE" w14:textId="77777777" w:rsidR="00057F88" w:rsidRPr="00057F88" w:rsidRDefault="00057F88" w:rsidP="00057F88">
      <w:pPr>
        <w:spacing w:after="0"/>
        <w:jc w:val="both"/>
        <w:rPr>
          <w:b/>
          <w:caps/>
          <w:sz w:val="28"/>
          <w:szCs w:val="28"/>
          <w:u w:val="single"/>
        </w:rPr>
      </w:pPr>
      <w:r w:rsidRPr="00057F88">
        <w:rPr>
          <w:b/>
          <w:caps/>
          <w:sz w:val="28"/>
          <w:szCs w:val="28"/>
          <w:u w:val="single"/>
        </w:rPr>
        <w:t>RESPUESTA</w:t>
      </w:r>
    </w:p>
    <w:p w14:paraId="4D3E96E2" w14:textId="3A686A38" w:rsidR="00B8370B" w:rsidRPr="00CA1440" w:rsidRDefault="00B8370B" w:rsidP="00685736">
      <w:pPr>
        <w:spacing w:after="0"/>
        <w:jc w:val="both"/>
        <w:rPr>
          <w:rFonts w:ascii="Calibri" w:hAnsi="Calibri" w:cs="Calibri"/>
          <w:b/>
        </w:rPr>
      </w:pPr>
      <w:r w:rsidRPr="00685736">
        <w:rPr>
          <w:rFonts w:ascii="Calibri" w:hAnsi="Calibri" w:cs="Calibri"/>
          <w:b/>
          <w:color w:val="000000"/>
        </w:rPr>
        <w:t>La Administración cumplirá con lo establecido en la Cláusula</w:t>
      </w:r>
      <w:r w:rsidR="00CA1440">
        <w:rPr>
          <w:rFonts w:ascii="Calibri" w:hAnsi="Calibri" w:cs="Calibri"/>
          <w:b/>
          <w:color w:val="FF0000"/>
        </w:rPr>
        <w:t xml:space="preserve"> </w:t>
      </w:r>
      <w:r w:rsidR="00CA1440" w:rsidRPr="00CA1440">
        <w:rPr>
          <w:rFonts w:ascii="Calibri" w:hAnsi="Calibri" w:cs="Calibri"/>
          <w:b/>
        </w:rPr>
        <w:t>5.1.1</w:t>
      </w:r>
      <w:r w:rsidR="00CA1440">
        <w:rPr>
          <w:rFonts w:ascii="Calibri" w:hAnsi="Calibri" w:cs="Calibri"/>
          <w:b/>
        </w:rPr>
        <w:t xml:space="preserve"> del Proyecto de Contrato.</w:t>
      </w:r>
    </w:p>
    <w:p w14:paraId="7C7B683F" w14:textId="0B9E6A38" w:rsidR="003361E2" w:rsidRDefault="003361E2" w:rsidP="003361E2">
      <w:pPr>
        <w:spacing w:after="0"/>
        <w:jc w:val="both"/>
        <w:rPr>
          <w:rFonts w:ascii="Calibri" w:hAnsi="Calibri" w:cs="Calibri"/>
          <w:b/>
          <w:color w:val="FF0000"/>
        </w:rPr>
      </w:pPr>
    </w:p>
    <w:p w14:paraId="752F2A79" w14:textId="77777777" w:rsidR="00057F88" w:rsidRPr="00057F88" w:rsidRDefault="00057F88" w:rsidP="00057F88">
      <w:pPr>
        <w:spacing w:after="0"/>
        <w:jc w:val="both"/>
        <w:rPr>
          <w:b/>
          <w:caps/>
          <w:sz w:val="28"/>
          <w:szCs w:val="28"/>
          <w:u w:val="single"/>
        </w:rPr>
      </w:pPr>
      <w:r w:rsidRPr="00057F88">
        <w:rPr>
          <w:b/>
          <w:caps/>
          <w:sz w:val="28"/>
          <w:szCs w:val="28"/>
          <w:u w:val="single"/>
        </w:rPr>
        <w:t>CONSULTA 2</w:t>
      </w:r>
    </w:p>
    <w:p w14:paraId="2D7D6403" w14:textId="77777777" w:rsidR="00057F88" w:rsidRPr="00057F88" w:rsidRDefault="00057F88" w:rsidP="00057F88">
      <w:pPr>
        <w:spacing w:line="240" w:lineRule="auto"/>
        <w:contextualSpacing/>
        <w:jc w:val="both"/>
        <w:rPr>
          <w:rFonts w:ascii="Tahoma" w:hAnsi="Tahoma" w:cs="Tahoma"/>
          <w:sz w:val="20"/>
          <w:szCs w:val="20"/>
        </w:rPr>
      </w:pPr>
      <w:r w:rsidRPr="00057F88">
        <w:rPr>
          <w:rFonts w:ascii="Tahoma" w:hAnsi="Tahoma" w:cs="Tahoma"/>
          <w:sz w:val="20"/>
          <w:szCs w:val="20"/>
        </w:rPr>
        <w:t xml:space="preserve">El procedimiento propuesto por la cláusula 14.2 del Proyecto de Contrato de PPP para la modificación unilateral del contrato por la Administración no se ajusta a la realidad, ya que no existe una relación directa entre la reducción del precio por disminución de obras y la disminución de los costos del oferente, la oferta que realizará el Oferente tendrá en cuenta factores de escala que se pueden ver afectados por esta reducción del Contrato PPP. Las cotizaciones de insumos recibidas por la Oferente a los efectos de confeccionar su oferta se ven favorecidas cuando la cantidad adquirida es mayor. Si se reduce la cantidad de obra, dichas cotizaciones deberán renegociarse a un costo mayor. Solicitamos se indemnicen todos los costos, gastos, daños o perjuicios que pueda sufrir la Contratista en virtud de la reducción de las obras como consecuencia de una modificación unilateral del contrato PPP por parte de la APC. </w:t>
      </w:r>
    </w:p>
    <w:p w14:paraId="3E728AE6" w14:textId="77777777" w:rsidR="00057F88" w:rsidRPr="00057F88" w:rsidRDefault="00057F88" w:rsidP="00057F88">
      <w:pPr>
        <w:spacing w:after="0"/>
        <w:jc w:val="both"/>
        <w:rPr>
          <w:rFonts w:ascii="Tahoma" w:hAnsi="Tahoma" w:cs="Tahoma"/>
          <w:sz w:val="20"/>
          <w:szCs w:val="20"/>
        </w:rPr>
      </w:pPr>
      <w:r w:rsidRPr="00057F88">
        <w:rPr>
          <w:rFonts w:ascii="Tahoma" w:hAnsi="Tahoma" w:cs="Tahoma"/>
          <w:sz w:val="20"/>
          <w:szCs w:val="20"/>
        </w:rPr>
        <w:t>Análogamente al límite que se establece para las modificaciones del contrato por parte de la Administración que impliquen una ampliación de obligaciones para la Contratista del 10% del valor de la obra acordado en el presente contrato, solicitamos que se incluya un límite para modificaciones unilaterales por parte de la APC que impliquen reducción de las obligaciones de la Contratista al 10% del valor de la obra</w:t>
      </w:r>
    </w:p>
    <w:p w14:paraId="4B478227" w14:textId="5520EE10" w:rsidR="00057F88" w:rsidRDefault="00057F88" w:rsidP="00057F88">
      <w:pPr>
        <w:spacing w:after="0"/>
        <w:jc w:val="both"/>
        <w:rPr>
          <w:b/>
          <w:caps/>
          <w:sz w:val="28"/>
          <w:szCs w:val="28"/>
          <w:u w:val="single"/>
        </w:rPr>
      </w:pPr>
      <w:r w:rsidRPr="00057F88">
        <w:rPr>
          <w:b/>
          <w:caps/>
          <w:sz w:val="28"/>
          <w:szCs w:val="28"/>
          <w:u w:val="single"/>
        </w:rPr>
        <w:t>RESPUESTA</w:t>
      </w:r>
      <w:r w:rsidR="001B0DC4">
        <w:rPr>
          <w:b/>
          <w:caps/>
          <w:sz w:val="28"/>
          <w:szCs w:val="28"/>
          <w:u w:val="single"/>
        </w:rPr>
        <w:t xml:space="preserve"> </w:t>
      </w:r>
    </w:p>
    <w:p w14:paraId="6B59D006" w14:textId="2A32CECC" w:rsidR="00BB7E4B" w:rsidRPr="00BB7E4B" w:rsidRDefault="00BB7E4B" w:rsidP="00057F88">
      <w:pPr>
        <w:spacing w:after="0"/>
        <w:jc w:val="both"/>
        <w:rPr>
          <w:rFonts w:ascii="Calibri" w:hAnsi="Calibri" w:cs="Calibri"/>
          <w:b/>
          <w:color w:val="000000"/>
        </w:rPr>
      </w:pPr>
      <w:r w:rsidRPr="00BB7E4B">
        <w:rPr>
          <w:rFonts w:ascii="Calibri" w:hAnsi="Calibri" w:cs="Calibri"/>
          <w:b/>
          <w:color w:val="000000"/>
        </w:rPr>
        <w:t xml:space="preserve">Se mantiene </w:t>
      </w:r>
      <w:r>
        <w:rPr>
          <w:rFonts w:ascii="Calibri" w:hAnsi="Calibri" w:cs="Calibri"/>
          <w:b/>
          <w:color w:val="000000"/>
        </w:rPr>
        <w:t>lo establecido.</w:t>
      </w:r>
    </w:p>
    <w:p w14:paraId="214F2C89" w14:textId="77777777" w:rsidR="003361E2" w:rsidRDefault="003361E2" w:rsidP="003361E2">
      <w:pPr>
        <w:spacing w:after="0" w:line="240" w:lineRule="auto"/>
        <w:jc w:val="both"/>
        <w:rPr>
          <w:b/>
          <w:caps/>
          <w:sz w:val="28"/>
          <w:szCs w:val="28"/>
          <w:u w:val="single"/>
        </w:rPr>
      </w:pPr>
    </w:p>
    <w:p w14:paraId="5C543BC3" w14:textId="77777777" w:rsidR="009E191D" w:rsidRDefault="009E191D" w:rsidP="00057F88">
      <w:pPr>
        <w:spacing w:after="0"/>
        <w:jc w:val="both"/>
        <w:rPr>
          <w:b/>
          <w:caps/>
          <w:sz w:val="28"/>
          <w:szCs w:val="28"/>
          <w:u w:val="single"/>
        </w:rPr>
      </w:pPr>
    </w:p>
    <w:p w14:paraId="26858F05" w14:textId="77777777" w:rsidR="009E191D" w:rsidRDefault="009E191D" w:rsidP="00057F88">
      <w:pPr>
        <w:spacing w:after="0"/>
        <w:jc w:val="both"/>
        <w:rPr>
          <w:b/>
          <w:caps/>
          <w:sz w:val="28"/>
          <w:szCs w:val="28"/>
          <w:u w:val="single"/>
        </w:rPr>
      </w:pPr>
    </w:p>
    <w:p w14:paraId="02B21C86" w14:textId="77777777" w:rsidR="00057F88" w:rsidRPr="00057F88" w:rsidRDefault="00057F88" w:rsidP="00057F88">
      <w:pPr>
        <w:spacing w:after="0"/>
        <w:jc w:val="both"/>
        <w:rPr>
          <w:b/>
          <w:caps/>
          <w:sz w:val="28"/>
          <w:szCs w:val="28"/>
          <w:u w:val="single"/>
        </w:rPr>
      </w:pPr>
      <w:r w:rsidRPr="00057F88">
        <w:rPr>
          <w:b/>
          <w:caps/>
          <w:sz w:val="28"/>
          <w:szCs w:val="28"/>
          <w:u w:val="single"/>
        </w:rPr>
        <w:lastRenderedPageBreak/>
        <w:t>CONSULTA 3</w:t>
      </w:r>
    </w:p>
    <w:p w14:paraId="05FCE2DA" w14:textId="77777777" w:rsidR="00057F88" w:rsidRPr="00057F88" w:rsidRDefault="00057F88" w:rsidP="00057F88">
      <w:pPr>
        <w:spacing w:line="240" w:lineRule="auto"/>
        <w:contextualSpacing/>
        <w:jc w:val="both"/>
        <w:rPr>
          <w:rFonts w:ascii="Tahoma" w:hAnsi="Tahoma" w:cs="Tahoma"/>
          <w:sz w:val="20"/>
          <w:szCs w:val="20"/>
        </w:rPr>
      </w:pPr>
      <w:r w:rsidRPr="00057F88">
        <w:rPr>
          <w:rFonts w:ascii="Tahoma" w:hAnsi="Tahoma" w:cs="Tahoma"/>
          <w:sz w:val="20"/>
          <w:szCs w:val="20"/>
        </w:rPr>
        <w:t>Proponemos extender la lista de sujetos excepcionados a guardar confidencialidad a las siguientes personas: (i) las sociedades controlantes, controladas, vinculadas o con control común a la Sociedad Contratista y los Oferentes y cualquier, director, empleado o asesor de</w:t>
      </w:r>
      <w:r w:rsidRPr="00057F88">
        <w:rPr>
          <w:rFonts w:ascii="Arial" w:eastAsia="Calibri" w:hAnsi="Arial" w:cs="Arial"/>
          <w:lang w:val="es-UY"/>
        </w:rPr>
        <w:t xml:space="preserve"> </w:t>
      </w:r>
      <w:r w:rsidRPr="00057F88">
        <w:rPr>
          <w:rFonts w:ascii="Tahoma" w:hAnsi="Tahoma" w:cs="Tahoma"/>
          <w:sz w:val="20"/>
          <w:szCs w:val="20"/>
        </w:rPr>
        <w:t>éstas; (ii) a los Acreedores</w:t>
      </w:r>
      <w:r w:rsidRPr="00057F88">
        <w:rPr>
          <w:rFonts w:ascii="Arial" w:eastAsia="Calibri" w:hAnsi="Arial" w:cs="Arial"/>
          <w:lang w:val="es-UY"/>
        </w:rPr>
        <w:t xml:space="preserve"> </w:t>
      </w:r>
      <w:r w:rsidRPr="00057F88">
        <w:rPr>
          <w:rFonts w:ascii="Tahoma" w:hAnsi="Tahoma" w:cs="Tahoma"/>
          <w:sz w:val="20"/>
          <w:szCs w:val="20"/>
        </w:rPr>
        <w:t>Financieros o cualquier, director, empleado o asesor de éstos y; (iii) así como a los subcontratistas y cualquier, director, empleado o asesor de éstos.</w:t>
      </w:r>
    </w:p>
    <w:p w14:paraId="51977214" w14:textId="77777777" w:rsidR="00057F88" w:rsidRPr="00057F88" w:rsidRDefault="00057F88" w:rsidP="00057F88">
      <w:pPr>
        <w:spacing w:after="0" w:line="240" w:lineRule="auto"/>
        <w:ind w:left="426" w:hanging="705"/>
        <w:jc w:val="both"/>
        <w:rPr>
          <w:rFonts w:ascii="Tahoma" w:hAnsi="Tahoma" w:cs="Tahoma"/>
          <w:sz w:val="20"/>
          <w:szCs w:val="20"/>
        </w:rPr>
      </w:pPr>
      <w:r w:rsidRPr="00057F88">
        <w:rPr>
          <w:rFonts w:ascii="Tahoma" w:hAnsi="Tahoma" w:cs="Tahoma"/>
          <w:sz w:val="20"/>
          <w:szCs w:val="20"/>
        </w:rPr>
        <w:t xml:space="preserve">    Se propone incorporar a la cláusula 5.2.2 i. (in fine) del Proyecto de Contrato de PPP la siguiente redacción:</w:t>
      </w:r>
    </w:p>
    <w:p w14:paraId="3A005289" w14:textId="77777777" w:rsidR="00057F88" w:rsidRPr="00057F88" w:rsidRDefault="00057F88" w:rsidP="00057F88">
      <w:pPr>
        <w:spacing w:after="0"/>
        <w:jc w:val="both"/>
        <w:rPr>
          <w:rFonts w:ascii="Tahoma" w:hAnsi="Tahoma" w:cs="Tahoma"/>
          <w:sz w:val="20"/>
          <w:szCs w:val="20"/>
        </w:rPr>
      </w:pPr>
      <w:r w:rsidRPr="00057F88">
        <w:rPr>
          <w:rFonts w:ascii="Tahoma" w:hAnsi="Tahoma" w:cs="Tahoma"/>
          <w:sz w:val="20"/>
          <w:szCs w:val="20"/>
        </w:rPr>
        <w:t>“No se entenderán como terceros a los efectos de esta cláusula de confidencialidad a la Unidad de Participación Público Privada del Ministerio de Economía y Finanzas, la Oficina de Planeamiento y Presupuesto, las Filiales de la Sociedad Contratista o cualquier director, asesor o empleado de éstas; los Oferentes y sus Filiales o cualquier director, asesor o empleado de éstas; los Acreedores Financieros o cualquier director, asesor o empleado de éstos y los Subcontratistas o cualquier director, asesor o empleado de éstos</w:t>
      </w:r>
    </w:p>
    <w:p w14:paraId="396B2BD6" w14:textId="77777777" w:rsidR="00057F88" w:rsidRDefault="00057F88" w:rsidP="00057F88">
      <w:pPr>
        <w:spacing w:after="0"/>
        <w:jc w:val="both"/>
        <w:rPr>
          <w:b/>
          <w:caps/>
          <w:sz w:val="28"/>
          <w:szCs w:val="28"/>
          <w:u w:val="single"/>
        </w:rPr>
      </w:pPr>
      <w:r w:rsidRPr="00057F88">
        <w:rPr>
          <w:b/>
          <w:caps/>
          <w:sz w:val="28"/>
          <w:szCs w:val="28"/>
          <w:u w:val="single"/>
        </w:rPr>
        <w:t>RESPUESTA</w:t>
      </w:r>
    </w:p>
    <w:p w14:paraId="4AEC2632" w14:textId="77777777" w:rsidR="00BB7E4B" w:rsidRPr="00BB7E4B" w:rsidRDefault="00BB7E4B" w:rsidP="00BB7E4B">
      <w:pPr>
        <w:spacing w:after="0"/>
        <w:jc w:val="both"/>
        <w:rPr>
          <w:rFonts w:ascii="Calibri" w:hAnsi="Calibri" w:cs="Calibri"/>
          <w:b/>
          <w:color w:val="000000"/>
        </w:rPr>
      </w:pPr>
      <w:r w:rsidRPr="00BB7E4B">
        <w:rPr>
          <w:rFonts w:ascii="Calibri" w:hAnsi="Calibri" w:cs="Calibri"/>
          <w:b/>
          <w:color w:val="000000"/>
        </w:rPr>
        <w:t xml:space="preserve">Se mantiene </w:t>
      </w:r>
      <w:r>
        <w:rPr>
          <w:rFonts w:ascii="Calibri" w:hAnsi="Calibri" w:cs="Calibri"/>
          <w:b/>
          <w:color w:val="000000"/>
        </w:rPr>
        <w:t>lo establecido.</w:t>
      </w:r>
    </w:p>
    <w:p w14:paraId="4A958CC3" w14:textId="77777777" w:rsidR="00685736" w:rsidRPr="00057F88" w:rsidRDefault="00685736" w:rsidP="00057F88">
      <w:pPr>
        <w:spacing w:after="0"/>
        <w:jc w:val="both"/>
        <w:rPr>
          <w:b/>
          <w:caps/>
          <w:sz w:val="28"/>
          <w:szCs w:val="28"/>
          <w:u w:val="single"/>
        </w:rPr>
      </w:pPr>
    </w:p>
    <w:p w14:paraId="14C1332B" w14:textId="77777777" w:rsidR="00057F88" w:rsidRPr="00057F88" w:rsidRDefault="00057F88" w:rsidP="00057F88">
      <w:pPr>
        <w:spacing w:after="0"/>
        <w:jc w:val="both"/>
        <w:rPr>
          <w:b/>
          <w:caps/>
          <w:sz w:val="28"/>
          <w:szCs w:val="28"/>
          <w:u w:val="single"/>
        </w:rPr>
      </w:pPr>
      <w:r w:rsidRPr="00057F88">
        <w:rPr>
          <w:b/>
          <w:caps/>
          <w:sz w:val="28"/>
          <w:szCs w:val="28"/>
          <w:u w:val="single"/>
        </w:rPr>
        <w:t>CONSULTA 4</w:t>
      </w:r>
    </w:p>
    <w:p w14:paraId="52D4AD25" w14:textId="77777777" w:rsidR="00057F88" w:rsidRPr="00057F88" w:rsidRDefault="00057F88" w:rsidP="00057F88">
      <w:pPr>
        <w:spacing w:line="240" w:lineRule="auto"/>
        <w:contextualSpacing/>
        <w:jc w:val="both"/>
        <w:rPr>
          <w:rFonts w:ascii="Tahoma" w:hAnsi="Tahoma" w:cs="Tahoma"/>
          <w:sz w:val="20"/>
          <w:szCs w:val="20"/>
        </w:rPr>
      </w:pPr>
      <w:r w:rsidRPr="00057F88">
        <w:rPr>
          <w:rFonts w:ascii="Tahoma" w:hAnsi="Tahoma" w:cs="Tahoma"/>
          <w:sz w:val="20"/>
          <w:szCs w:val="20"/>
        </w:rPr>
        <w:t xml:space="preserve">Proponemos incorporar en el Proyecto de Contrato de PPP aquellos hallazgos de interés cultural o patrimonial. En virtud de estos hallazgos reconocerse extensión de plazo y modificación de precio. La modificación de precio deberá incorporar todos los costos asociados. </w:t>
      </w:r>
    </w:p>
    <w:p w14:paraId="44034AF2"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sz w:val="20"/>
          <w:szCs w:val="20"/>
        </w:rPr>
        <w:t>Se propone la siguiente redacción de la cláusula 5.2.4 del Proyecto de Contrato de PPP.</w:t>
      </w:r>
    </w:p>
    <w:p w14:paraId="4D5EEBF9"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sz w:val="20"/>
          <w:szCs w:val="20"/>
        </w:rPr>
        <w:t xml:space="preserve"> “Si durante el desarrollo del Contrato se produce cualquier hallazgo de restos arqueológicos, así como descubrimientos paleontológicos la Sociedad Contratista deberá tomar todas las medidas necesarias para la preservación de los restos encontrados. Asimismo, deberá informar de manera inmediata al Supervisor del Contrato.</w:t>
      </w:r>
    </w:p>
    <w:p w14:paraId="4D8F82ED"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sz w:val="20"/>
          <w:szCs w:val="20"/>
        </w:rPr>
        <w:t>El Supervisor del Contrato informará a las Autoridades correspondientes e instruirá a la Sociedad Contratista sobre el correcto tratamiento de los restos.</w:t>
      </w:r>
    </w:p>
    <w:p w14:paraId="159EA547"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sz w:val="20"/>
          <w:szCs w:val="20"/>
        </w:rPr>
        <w:t>El costo para la Sociedad Contratista de las operaciones derivadas del tratamiento del hallazgo será retribuido por la APC, y será incorporado al Precio Final Reconocido de la obra en la cual se produjo el hallazgo. La forma de retribución implicará la modificación del Contrato, [de acuerdo a la cláusula 14.3] e incluirá además todos los costos, gastos, daños y perjuicios.</w:t>
      </w:r>
    </w:p>
    <w:p w14:paraId="02374CD8" w14:textId="77777777" w:rsidR="00057F88" w:rsidRPr="00057F88" w:rsidRDefault="00057F88" w:rsidP="00057F88">
      <w:pPr>
        <w:spacing w:after="0" w:line="240" w:lineRule="auto"/>
        <w:jc w:val="both"/>
        <w:rPr>
          <w:rFonts w:ascii="Tahoma" w:hAnsi="Tahoma" w:cs="Tahoma"/>
          <w:sz w:val="20"/>
          <w:szCs w:val="20"/>
        </w:rPr>
      </w:pPr>
      <w:bookmarkStart w:id="0" w:name="bookmark35"/>
      <w:r w:rsidRPr="00057F88">
        <w:rPr>
          <w:rFonts w:ascii="Tahoma" w:hAnsi="Tahoma" w:cs="Tahoma"/>
          <w:sz w:val="20"/>
          <w:szCs w:val="20"/>
        </w:rPr>
        <w:t>En caso que las medidas adoptadas para el correcto tratamiento del hallazgo impliquen la paralización o el retraso de las obras durante un determinado período, el mismo será también reconocido a la Sociedad Contratista en ocasión de la modificación del contrato por esta causa, [que se ajustará a lo establecido en la cláusula 14.2 del presente Contrato].</w:t>
      </w:r>
      <w:bookmarkEnd w:id="0"/>
    </w:p>
    <w:p w14:paraId="1E8BA8DA"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sz w:val="20"/>
          <w:szCs w:val="20"/>
        </w:rPr>
        <w:t>Lo mismo ocurrirá en caso que alguno de los Centros se construya en un área de interés patrimonial o cultural y requiera de algún permiso, registro o autorización especial de alguna Autoridad u organismo privado”.</w:t>
      </w:r>
    </w:p>
    <w:p w14:paraId="6ED97761" w14:textId="77777777" w:rsidR="00057F88" w:rsidRPr="00057F88" w:rsidRDefault="00057F88" w:rsidP="00057F88">
      <w:pPr>
        <w:spacing w:after="0"/>
        <w:jc w:val="both"/>
        <w:rPr>
          <w:b/>
          <w:caps/>
          <w:sz w:val="28"/>
          <w:szCs w:val="28"/>
          <w:u w:val="single"/>
        </w:rPr>
      </w:pPr>
      <w:r w:rsidRPr="008D744E">
        <w:rPr>
          <w:b/>
          <w:caps/>
          <w:sz w:val="28"/>
          <w:szCs w:val="28"/>
          <w:u w:val="single"/>
        </w:rPr>
        <w:t>RESPUESTA</w:t>
      </w:r>
    </w:p>
    <w:p w14:paraId="5856FD1C" w14:textId="23ADA734" w:rsidR="00B5246B" w:rsidRPr="00B5246B" w:rsidRDefault="00B5246B" w:rsidP="00057F88">
      <w:pPr>
        <w:spacing w:after="0"/>
        <w:jc w:val="both"/>
        <w:rPr>
          <w:rFonts w:ascii="Calibri" w:hAnsi="Calibri" w:cs="Calibri"/>
          <w:b/>
          <w:color w:val="000000"/>
        </w:rPr>
      </w:pPr>
      <w:r>
        <w:rPr>
          <w:rFonts w:ascii="Calibri" w:hAnsi="Calibri" w:cs="Calibri"/>
          <w:b/>
          <w:color w:val="000000"/>
        </w:rPr>
        <w:t>Ver Puntualización 3 del presente Comunicado.</w:t>
      </w:r>
    </w:p>
    <w:p w14:paraId="6CCC6ADC" w14:textId="77777777" w:rsidR="009E191D" w:rsidRDefault="009E191D" w:rsidP="00057F88">
      <w:pPr>
        <w:spacing w:after="0"/>
        <w:jc w:val="both"/>
        <w:rPr>
          <w:b/>
          <w:caps/>
          <w:sz w:val="28"/>
          <w:szCs w:val="28"/>
          <w:u w:val="single"/>
        </w:rPr>
      </w:pPr>
    </w:p>
    <w:p w14:paraId="686FDBD5" w14:textId="77777777" w:rsidR="00057F88" w:rsidRPr="00057F88" w:rsidRDefault="00057F88" w:rsidP="00057F88">
      <w:pPr>
        <w:spacing w:after="0"/>
        <w:jc w:val="both"/>
        <w:rPr>
          <w:b/>
          <w:caps/>
          <w:sz w:val="28"/>
          <w:szCs w:val="28"/>
          <w:u w:val="single"/>
        </w:rPr>
      </w:pPr>
      <w:r w:rsidRPr="00057F88">
        <w:rPr>
          <w:b/>
          <w:caps/>
          <w:sz w:val="28"/>
          <w:szCs w:val="28"/>
          <w:u w:val="single"/>
        </w:rPr>
        <w:t>CONSULTA 5</w:t>
      </w:r>
    </w:p>
    <w:p w14:paraId="2651769D"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sz w:val="20"/>
          <w:szCs w:val="20"/>
        </w:rPr>
        <w:t>En un relevamiento hecho a cada predio nos encontramos con las siguientes interferencias:</w:t>
      </w:r>
    </w:p>
    <w:p w14:paraId="1E401EA8"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b/>
          <w:sz w:val="20"/>
          <w:szCs w:val="20"/>
        </w:rPr>
        <w:t xml:space="preserve">3.2 – Ubicación D4 </w:t>
      </w:r>
      <w:r w:rsidRPr="00057F88">
        <w:rPr>
          <w:rFonts w:ascii="Tahoma" w:hAnsi="Tahoma" w:cs="Tahoma"/>
          <w:sz w:val="20"/>
          <w:szCs w:val="20"/>
        </w:rPr>
        <w:t xml:space="preserve">UTU Canelones – Progreso, Padrón 2104, En el área de implantación hay viviendas y una calle (Ecuador) existentes, que se superponen con el futuro edificio. </w:t>
      </w:r>
    </w:p>
    <w:p w14:paraId="1CE4E0A9"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b/>
          <w:sz w:val="20"/>
          <w:szCs w:val="20"/>
        </w:rPr>
        <w:t xml:space="preserve">3.3 – Ubicación D14 </w:t>
      </w:r>
      <w:r w:rsidRPr="00057F88">
        <w:rPr>
          <w:rFonts w:ascii="Tahoma" w:hAnsi="Tahoma" w:cs="Tahoma"/>
          <w:sz w:val="20"/>
          <w:szCs w:val="20"/>
        </w:rPr>
        <w:t>Liceo Treinta y Tres – Vergara, Padrón 7057. Parte del área de implantación se encuentra sobre un bañado.</w:t>
      </w:r>
    </w:p>
    <w:p w14:paraId="138B6DC4" w14:textId="77777777" w:rsidR="00057F88" w:rsidRPr="00057F88" w:rsidRDefault="00057F88" w:rsidP="00057F88">
      <w:pPr>
        <w:spacing w:after="0" w:line="240" w:lineRule="auto"/>
        <w:jc w:val="both"/>
        <w:rPr>
          <w:rFonts w:ascii="Tahoma" w:hAnsi="Tahoma" w:cs="Tahoma"/>
          <w:sz w:val="20"/>
          <w:szCs w:val="20"/>
        </w:rPr>
      </w:pPr>
      <w:r w:rsidRPr="00057F88">
        <w:rPr>
          <w:rFonts w:ascii="Tahoma" w:hAnsi="Tahoma" w:cs="Tahoma"/>
          <w:b/>
          <w:sz w:val="20"/>
          <w:szCs w:val="20"/>
        </w:rPr>
        <w:t xml:space="preserve">3.4 – Ubicación S36 </w:t>
      </w:r>
      <w:r w:rsidRPr="00057F88">
        <w:rPr>
          <w:rFonts w:ascii="Tahoma" w:hAnsi="Tahoma" w:cs="Tahoma"/>
          <w:sz w:val="20"/>
          <w:szCs w:val="20"/>
        </w:rPr>
        <w:t>Liceo Salto – Colonia Lavalleja, Padrón 5709. Vecinos nos comentaron que el padrón cedido para la futura edificación no es el que figura en las láminas de ubicación, y además constatamos que hay edificaciones existentes que interferirían con el Liceo.</w:t>
      </w:r>
    </w:p>
    <w:p w14:paraId="792C7507" w14:textId="77777777" w:rsidR="009E191D" w:rsidRDefault="009E191D" w:rsidP="00057F88">
      <w:pPr>
        <w:spacing w:after="0"/>
        <w:jc w:val="both"/>
        <w:rPr>
          <w:b/>
          <w:caps/>
          <w:sz w:val="28"/>
          <w:szCs w:val="28"/>
          <w:u w:val="single"/>
        </w:rPr>
      </w:pPr>
    </w:p>
    <w:p w14:paraId="66FEBEC9" w14:textId="77777777" w:rsidR="00057F88" w:rsidRPr="00057F88" w:rsidRDefault="00057F88" w:rsidP="00057F88">
      <w:pPr>
        <w:spacing w:after="0"/>
        <w:jc w:val="both"/>
        <w:rPr>
          <w:b/>
          <w:caps/>
          <w:sz w:val="28"/>
          <w:szCs w:val="28"/>
          <w:u w:val="single"/>
        </w:rPr>
      </w:pPr>
      <w:r w:rsidRPr="00057F88">
        <w:rPr>
          <w:b/>
          <w:caps/>
          <w:sz w:val="28"/>
          <w:szCs w:val="28"/>
          <w:u w:val="single"/>
        </w:rPr>
        <w:lastRenderedPageBreak/>
        <w:t>RESPUESTA</w:t>
      </w:r>
    </w:p>
    <w:p w14:paraId="2E907E10" w14:textId="0D353133" w:rsidR="003361E2" w:rsidRDefault="00CA296B" w:rsidP="00CA296B">
      <w:pPr>
        <w:spacing w:after="0"/>
        <w:rPr>
          <w:rFonts w:ascii="Calibri" w:hAnsi="Calibri" w:cs="Calibri"/>
          <w:b/>
          <w:color w:val="000000"/>
        </w:rPr>
      </w:pPr>
      <w:r w:rsidRPr="00CA296B">
        <w:rPr>
          <w:rFonts w:ascii="Calibri" w:hAnsi="Calibri" w:cs="Calibri"/>
          <w:b/>
          <w:color w:val="000000"/>
        </w:rPr>
        <w:t xml:space="preserve">3.2- </w:t>
      </w:r>
      <w:r>
        <w:rPr>
          <w:rFonts w:ascii="Calibri" w:hAnsi="Calibri" w:cs="Calibri"/>
          <w:b/>
          <w:color w:val="000000"/>
        </w:rPr>
        <w:t>Padrón 2104, se cambia por Padrón 4851 propiedad de la ANEP:</w:t>
      </w:r>
    </w:p>
    <w:p w14:paraId="135DC626" w14:textId="20F5F498" w:rsidR="00CA296B" w:rsidRDefault="00CA296B" w:rsidP="00CA296B">
      <w:pPr>
        <w:spacing w:after="0"/>
        <w:rPr>
          <w:rFonts w:ascii="Calibri" w:hAnsi="Calibri" w:cs="Calibri"/>
          <w:b/>
          <w:color w:val="000000"/>
        </w:rPr>
      </w:pPr>
      <w:r>
        <w:rPr>
          <w:rFonts w:ascii="Calibri" w:hAnsi="Calibri" w:cs="Calibri"/>
          <w:b/>
          <w:color w:val="000000"/>
        </w:rPr>
        <w:t>3.3- Padrón 7057, tiene una superficie de 7000 mts, se puede cambiar el lugar de la implantación.</w:t>
      </w:r>
    </w:p>
    <w:p w14:paraId="76EDEEFA" w14:textId="2FB9DD6F" w:rsidR="00CA296B" w:rsidRPr="00CA296B" w:rsidRDefault="00CA296B" w:rsidP="00CA296B">
      <w:pPr>
        <w:spacing w:after="0"/>
        <w:rPr>
          <w:rFonts w:ascii="Calibri" w:hAnsi="Calibri" w:cs="Calibri"/>
          <w:b/>
          <w:color w:val="000000"/>
        </w:rPr>
      </w:pPr>
      <w:r>
        <w:rPr>
          <w:rFonts w:ascii="Calibri" w:hAnsi="Calibri" w:cs="Calibri"/>
          <w:b/>
          <w:color w:val="000000"/>
        </w:rPr>
        <w:t>3.4- Padrón 5709, el padrón correcto es 10395.</w:t>
      </w:r>
    </w:p>
    <w:p w14:paraId="6C2D8FF4" w14:textId="77777777" w:rsidR="00CA296B" w:rsidRPr="00057F88" w:rsidRDefault="00CA296B" w:rsidP="003361E2">
      <w:pPr>
        <w:spacing w:after="0" w:line="240" w:lineRule="auto"/>
        <w:rPr>
          <w:caps/>
          <w:color w:val="FF0000"/>
          <w:sz w:val="28"/>
          <w:szCs w:val="28"/>
        </w:rPr>
      </w:pPr>
    </w:p>
    <w:p w14:paraId="0D7E489D" w14:textId="77777777" w:rsidR="00057F88" w:rsidRPr="00057F88" w:rsidRDefault="00057F88" w:rsidP="00057F88">
      <w:pPr>
        <w:spacing w:after="0"/>
        <w:jc w:val="both"/>
        <w:rPr>
          <w:b/>
          <w:caps/>
          <w:sz w:val="28"/>
          <w:szCs w:val="28"/>
          <w:u w:val="single"/>
        </w:rPr>
      </w:pPr>
      <w:r w:rsidRPr="00057F88">
        <w:rPr>
          <w:b/>
          <w:caps/>
          <w:sz w:val="28"/>
          <w:szCs w:val="28"/>
          <w:u w:val="single"/>
        </w:rPr>
        <w:t>CONSULTA 6</w:t>
      </w:r>
    </w:p>
    <w:p w14:paraId="40B469B4" w14:textId="77777777" w:rsidR="00057F88" w:rsidRPr="00057F88" w:rsidRDefault="00057F88" w:rsidP="00057F88">
      <w:pPr>
        <w:spacing w:after="160" w:line="252" w:lineRule="auto"/>
        <w:contextualSpacing/>
        <w:rPr>
          <w:rFonts w:ascii="Tahoma" w:hAnsi="Tahoma" w:cs="Tahoma"/>
          <w:sz w:val="20"/>
          <w:szCs w:val="20"/>
        </w:rPr>
      </w:pPr>
      <w:r w:rsidRPr="00057F88">
        <w:rPr>
          <w:rFonts w:ascii="Tahoma" w:hAnsi="Tahoma" w:cs="Tahoma"/>
          <w:sz w:val="20"/>
          <w:szCs w:val="20"/>
        </w:rPr>
        <w:t>En la ronda de recaudos recibida conjuntamente con el comunicado Nº8, se adjuntan detalles de los laboratorios y también detalles genéricos de mesadas.</w:t>
      </w:r>
    </w:p>
    <w:p w14:paraId="644800D8" w14:textId="77777777" w:rsidR="00057F88" w:rsidRPr="00057F88" w:rsidRDefault="00057F88" w:rsidP="00057F88">
      <w:pPr>
        <w:spacing w:after="0" w:line="240" w:lineRule="auto"/>
        <w:contextualSpacing/>
        <w:rPr>
          <w:rFonts w:ascii="Tahoma" w:eastAsia="Times New Roman" w:hAnsi="Tahoma" w:cs="Tahoma"/>
          <w:b/>
          <w:sz w:val="20"/>
          <w:szCs w:val="20"/>
        </w:rPr>
      </w:pPr>
      <w:r w:rsidRPr="00057F88">
        <w:rPr>
          <w:rFonts w:ascii="Tahoma" w:eastAsia="Times New Roman" w:hAnsi="Tahoma" w:cs="Tahoma"/>
          <w:b/>
          <w:sz w:val="20"/>
          <w:szCs w:val="20"/>
        </w:rPr>
        <w:t>Agradecemos por favor confirmar qué debemos considerar para las mesadas:</w:t>
      </w:r>
    </w:p>
    <w:p w14:paraId="3955523C" w14:textId="77777777" w:rsidR="00057F88" w:rsidRPr="00057F88" w:rsidRDefault="00057F88" w:rsidP="00057F88">
      <w:pPr>
        <w:numPr>
          <w:ilvl w:val="1"/>
          <w:numId w:val="4"/>
        </w:numPr>
        <w:spacing w:after="160" w:line="252" w:lineRule="auto"/>
        <w:contextualSpacing/>
        <w:rPr>
          <w:rFonts w:ascii="Tahoma" w:hAnsi="Tahoma" w:cs="Tahoma"/>
          <w:sz w:val="20"/>
          <w:szCs w:val="20"/>
        </w:rPr>
      </w:pPr>
      <w:r w:rsidRPr="00057F88">
        <w:rPr>
          <w:rFonts w:ascii="Tahoma" w:hAnsi="Tahoma" w:cs="Tahoma"/>
          <w:sz w:val="20"/>
          <w:szCs w:val="20"/>
        </w:rPr>
        <w:t>En lámina de laboratorios: mesadas de hormigón con revestimiento de porcelanato</w:t>
      </w:r>
    </w:p>
    <w:p w14:paraId="194093A1" w14:textId="77777777" w:rsidR="00057F88" w:rsidRPr="00057F88" w:rsidRDefault="00057F88" w:rsidP="00057F88">
      <w:pPr>
        <w:numPr>
          <w:ilvl w:val="1"/>
          <w:numId w:val="4"/>
        </w:numPr>
        <w:spacing w:after="0" w:line="240" w:lineRule="auto"/>
        <w:ind w:left="1434" w:hanging="357"/>
        <w:contextualSpacing/>
        <w:rPr>
          <w:rFonts w:ascii="Tahoma" w:hAnsi="Tahoma" w:cs="Tahoma"/>
          <w:sz w:val="20"/>
          <w:szCs w:val="20"/>
        </w:rPr>
      </w:pPr>
      <w:r w:rsidRPr="00057F88">
        <w:rPr>
          <w:rFonts w:ascii="Tahoma" w:hAnsi="Tahoma" w:cs="Tahoma"/>
          <w:sz w:val="20"/>
          <w:szCs w:val="20"/>
        </w:rPr>
        <w:t>En láminas de detalles de mesadas: revestimiento de chapa plegada de acero inox.</w:t>
      </w:r>
    </w:p>
    <w:p w14:paraId="5D6C3412" w14:textId="77777777" w:rsidR="00057F88" w:rsidRPr="00057F88" w:rsidRDefault="00057F88" w:rsidP="00057F88">
      <w:pPr>
        <w:spacing w:after="0"/>
        <w:jc w:val="both"/>
        <w:rPr>
          <w:b/>
          <w:caps/>
          <w:sz w:val="28"/>
          <w:szCs w:val="28"/>
          <w:u w:val="single"/>
        </w:rPr>
      </w:pPr>
      <w:r w:rsidRPr="00057F88">
        <w:rPr>
          <w:b/>
          <w:caps/>
          <w:sz w:val="28"/>
          <w:szCs w:val="28"/>
          <w:u w:val="single"/>
        </w:rPr>
        <w:t>RESPUESTA</w:t>
      </w:r>
    </w:p>
    <w:p w14:paraId="1B16734E" w14:textId="16F7A808" w:rsidR="00057F88" w:rsidRDefault="00820EB4" w:rsidP="00820EB4">
      <w:pPr>
        <w:spacing w:after="0"/>
        <w:rPr>
          <w:rFonts w:ascii="Calibri" w:hAnsi="Calibri" w:cs="Calibri"/>
          <w:b/>
          <w:color w:val="000000"/>
        </w:rPr>
      </w:pPr>
      <w:r>
        <w:rPr>
          <w:rFonts w:ascii="Calibri" w:hAnsi="Calibri" w:cs="Calibri"/>
          <w:b/>
          <w:color w:val="000000"/>
        </w:rPr>
        <w:t>Las mesadas de los laboratorios serán de acero inoxidable, de acuerdo al detalle del Comunicado 8.</w:t>
      </w:r>
    </w:p>
    <w:p w14:paraId="4DE68D12" w14:textId="77777777" w:rsidR="00862585" w:rsidRDefault="00862585" w:rsidP="00862585">
      <w:pPr>
        <w:spacing w:after="0" w:line="240" w:lineRule="auto"/>
        <w:ind w:left="1146" w:right="566"/>
        <w:contextualSpacing/>
        <w:jc w:val="both"/>
        <w:rPr>
          <w:rFonts w:ascii="Arial" w:eastAsia="Times New Roman" w:hAnsi="Arial" w:cs="Arial"/>
          <w:iCs/>
          <w:color w:val="002060"/>
          <w:szCs w:val="20"/>
          <w:lang w:val="es-UY" w:eastAsia="x-none"/>
        </w:rPr>
      </w:pPr>
    </w:p>
    <w:p w14:paraId="20BED989" w14:textId="6BB2679F" w:rsidR="00862585" w:rsidRPr="00862585" w:rsidRDefault="00862585" w:rsidP="00862585">
      <w:pPr>
        <w:spacing w:after="0"/>
        <w:jc w:val="both"/>
        <w:rPr>
          <w:b/>
          <w:caps/>
          <w:sz w:val="28"/>
          <w:szCs w:val="28"/>
          <w:u w:val="single"/>
        </w:rPr>
      </w:pPr>
      <w:r w:rsidRPr="00862585">
        <w:rPr>
          <w:b/>
          <w:caps/>
          <w:sz w:val="28"/>
          <w:szCs w:val="28"/>
          <w:u w:val="single"/>
        </w:rPr>
        <w:t>CONSULTA 7</w:t>
      </w:r>
    </w:p>
    <w:p w14:paraId="46F343CB" w14:textId="77777777" w:rsidR="00862585" w:rsidRPr="00862585" w:rsidRDefault="00862585" w:rsidP="00862585">
      <w:pPr>
        <w:spacing w:after="160" w:line="252" w:lineRule="auto"/>
        <w:contextualSpacing/>
        <w:rPr>
          <w:rFonts w:ascii="Tahoma" w:hAnsi="Tahoma" w:cs="Tahoma"/>
          <w:sz w:val="20"/>
          <w:szCs w:val="20"/>
        </w:rPr>
      </w:pPr>
      <w:r w:rsidRPr="00862585">
        <w:rPr>
          <w:rFonts w:ascii="Tahoma" w:hAnsi="Tahoma" w:cs="Tahoma"/>
          <w:sz w:val="20"/>
          <w:szCs w:val="20"/>
        </w:rPr>
        <w:t>En el CUADRO A del edificio de 7 aulas se especifica un tiempo de reverberación de 0,98, pero no se especifica aislación acústica. Es esto correcto?</w:t>
      </w:r>
    </w:p>
    <w:p w14:paraId="7A860D69" w14:textId="77777777" w:rsidR="00862585" w:rsidRPr="00057F88" w:rsidRDefault="00862585" w:rsidP="00862585">
      <w:pPr>
        <w:spacing w:after="0"/>
        <w:jc w:val="both"/>
        <w:rPr>
          <w:b/>
          <w:caps/>
          <w:sz w:val="28"/>
          <w:szCs w:val="28"/>
          <w:u w:val="single"/>
        </w:rPr>
      </w:pPr>
      <w:r w:rsidRPr="00057F88">
        <w:rPr>
          <w:b/>
          <w:caps/>
          <w:sz w:val="28"/>
          <w:szCs w:val="28"/>
          <w:u w:val="single"/>
        </w:rPr>
        <w:t>RESPUESTA</w:t>
      </w:r>
    </w:p>
    <w:p w14:paraId="3C20CC56" w14:textId="6D2D1B42" w:rsidR="00057F88" w:rsidRDefault="00862585" w:rsidP="003361E2">
      <w:pPr>
        <w:spacing w:after="0"/>
        <w:rPr>
          <w:rFonts w:ascii="Calibri" w:hAnsi="Calibri" w:cs="Calibri"/>
          <w:b/>
          <w:color w:val="000000"/>
        </w:rPr>
      </w:pPr>
      <w:r>
        <w:rPr>
          <w:rFonts w:ascii="Calibri" w:hAnsi="Calibri" w:cs="Calibri"/>
          <w:b/>
          <w:color w:val="000000"/>
        </w:rPr>
        <w:t>Remitirse a Comunicado 8, consulta 22. Ver cuadro A que sustituye anterior.</w:t>
      </w:r>
    </w:p>
    <w:p w14:paraId="4B4EE6B2" w14:textId="77777777" w:rsidR="000F399A" w:rsidRDefault="000F399A" w:rsidP="003361E2">
      <w:pPr>
        <w:spacing w:after="0"/>
        <w:rPr>
          <w:rFonts w:ascii="Calibri" w:hAnsi="Calibri" w:cs="Calibri"/>
          <w:b/>
          <w:color w:val="000000"/>
        </w:rPr>
      </w:pPr>
    </w:p>
    <w:p w14:paraId="4167DCEE" w14:textId="23A3E183" w:rsidR="000F399A" w:rsidRPr="00862585" w:rsidRDefault="000F399A" w:rsidP="000F399A">
      <w:pPr>
        <w:spacing w:after="0"/>
        <w:jc w:val="both"/>
        <w:rPr>
          <w:b/>
          <w:caps/>
          <w:sz w:val="28"/>
          <w:szCs w:val="28"/>
          <w:u w:val="single"/>
        </w:rPr>
      </w:pPr>
      <w:r>
        <w:rPr>
          <w:b/>
          <w:caps/>
          <w:sz w:val="28"/>
          <w:szCs w:val="28"/>
          <w:u w:val="single"/>
        </w:rPr>
        <w:t>CONSULTA 8</w:t>
      </w:r>
    </w:p>
    <w:p w14:paraId="4EE46445" w14:textId="77777777" w:rsidR="000F399A" w:rsidRPr="000F399A" w:rsidRDefault="000F399A" w:rsidP="000F399A">
      <w:pPr>
        <w:spacing w:after="0" w:line="240" w:lineRule="auto"/>
        <w:jc w:val="both"/>
        <w:rPr>
          <w:rFonts w:ascii="Tahoma" w:hAnsi="Tahoma" w:cs="Tahoma"/>
          <w:sz w:val="20"/>
          <w:szCs w:val="20"/>
        </w:rPr>
      </w:pPr>
      <w:r w:rsidRPr="000F399A">
        <w:rPr>
          <w:rFonts w:ascii="Tahoma" w:hAnsi="Tahoma" w:cs="Tahoma"/>
          <w:sz w:val="20"/>
          <w:szCs w:val="20"/>
        </w:rPr>
        <w:t xml:space="preserve">Según el documento “Pautas de diseño y construcción”, Cuadro B-Equipamiento fijo 7 aulas, el oferente debe suministrar 2 gradas: 1 en la sala de Lectura, y 1 en el área de ciencias. </w:t>
      </w:r>
    </w:p>
    <w:p w14:paraId="2AE792EB" w14:textId="77777777" w:rsidR="000F399A" w:rsidRPr="000F399A" w:rsidRDefault="000F399A" w:rsidP="000F399A">
      <w:pPr>
        <w:spacing w:after="0" w:line="240" w:lineRule="auto"/>
        <w:jc w:val="both"/>
        <w:rPr>
          <w:rFonts w:ascii="Tahoma" w:hAnsi="Tahoma" w:cs="Tahoma"/>
          <w:sz w:val="20"/>
          <w:szCs w:val="20"/>
        </w:rPr>
      </w:pPr>
      <w:r w:rsidRPr="000F399A">
        <w:rPr>
          <w:rFonts w:ascii="Tahoma" w:hAnsi="Tahoma" w:cs="Tahoma"/>
          <w:sz w:val="20"/>
          <w:szCs w:val="20"/>
        </w:rPr>
        <w:t xml:space="preserve">En el Comunicado Nº8, consulta 20, dice que la grada de la lámina “7 aulas gradas” no se debe considerar en el área de ciencias sino frente a la biblioteca. </w:t>
      </w:r>
    </w:p>
    <w:p w14:paraId="31428896" w14:textId="77777777" w:rsidR="000F399A" w:rsidRDefault="000F399A" w:rsidP="000F399A">
      <w:pPr>
        <w:spacing w:after="0" w:line="240" w:lineRule="auto"/>
        <w:jc w:val="both"/>
        <w:rPr>
          <w:rFonts w:ascii="Tahoma" w:hAnsi="Tahoma" w:cs="Tahoma"/>
          <w:sz w:val="20"/>
          <w:szCs w:val="20"/>
        </w:rPr>
      </w:pPr>
      <w:r w:rsidRPr="000F399A">
        <w:rPr>
          <w:rFonts w:ascii="Tahoma" w:hAnsi="Tahoma" w:cs="Tahoma"/>
          <w:sz w:val="20"/>
          <w:szCs w:val="20"/>
        </w:rPr>
        <w:t xml:space="preserve">Entendemos que el oferente solo debe incluir en su presupuesto para las escuelas de 7 aulas una única grada en la sala de lectura que corresponde con el espacio situado frente a la biblioteca. Favor confirmar esta interpretación. </w:t>
      </w:r>
    </w:p>
    <w:p w14:paraId="5F43EB99" w14:textId="77777777" w:rsidR="000F399A" w:rsidRPr="00057F88" w:rsidRDefault="000F399A" w:rsidP="000F399A">
      <w:pPr>
        <w:spacing w:after="0"/>
        <w:jc w:val="both"/>
        <w:rPr>
          <w:b/>
          <w:caps/>
          <w:sz w:val="28"/>
          <w:szCs w:val="28"/>
          <w:u w:val="single"/>
        </w:rPr>
      </w:pPr>
      <w:r w:rsidRPr="00057F88">
        <w:rPr>
          <w:b/>
          <w:caps/>
          <w:sz w:val="28"/>
          <w:szCs w:val="28"/>
          <w:u w:val="single"/>
        </w:rPr>
        <w:t>RESPUESTA</w:t>
      </w:r>
    </w:p>
    <w:p w14:paraId="764E7A1A" w14:textId="77777777" w:rsidR="000F399A" w:rsidRPr="000F399A" w:rsidRDefault="000F399A" w:rsidP="000F399A">
      <w:pPr>
        <w:spacing w:after="0"/>
        <w:rPr>
          <w:rFonts w:ascii="Calibri" w:hAnsi="Calibri" w:cs="Calibri"/>
          <w:b/>
          <w:color w:val="000000"/>
        </w:rPr>
      </w:pPr>
      <w:r w:rsidRPr="000F399A">
        <w:rPr>
          <w:rFonts w:ascii="Calibri" w:hAnsi="Calibri" w:cs="Calibri"/>
          <w:b/>
          <w:color w:val="000000"/>
        </w:rPr>
        <w:t>La interpretación es correcta.</w:t>
      </w:r>
    </w:p>
    <w:p w14:paraId="2CF50598" w14:textId="77777777" w:rsidR="000F399A" w:rsidRDefault="000F399A" w:rsidP="003361E2">
      <w:pPr>
        <w:spacing w:after="0"/>
        <w:rPr>
          <w:b/>
        </w:rPr>
      </w:pPr>
    </w:p>
    <w:p w14:paraId="2AADF957" w14:textId="113C766A" w:rsidR="000F399A" w:rsidRPr="00862585" w:rsidRDefault="000F399A" w:rsidP="000F399A">
      <w:pPr>
        <w:spacing w:after="0"/>
        <w:jc w:val="both"/>
        <w:rPr>
          <w:b/>
          <w:caps/>
          <w:sz w:val="28"/>
          <w:szCs w:val="28"/>
          <w:u w:val="single"/>
        </w:rPr>
      </w:pPr>
      <w:r>
        <w:rPr>
          <w:b/>
          <w:caps/>
          <w:sz w:val="28"/>
          <w:szCs w:val="28"/>
          <w:u w:val="single"/>
        </w:rPr>
        <w:t>CONSULTA 9</w:t>
      </w:r>
    </w:p>
    <w:p w14:paraId="3DBF1E76" w14:textId="77777777" w:rsidR="000F399A" w:rsidRPr="000F399A" w:rsidRDefault="000F399A" w:rsidP="000F399A">
      <w:pPr>
        <w:spacing w:after="0"/>
        <w:jc w:val="both"/>
        <w:rPr>
          <w:rFonts w:ascii="Tahoma" w:hAnsi="Tahoma" w:cs="Tahoma"/>
          <w:sz w:val="20"/>
          <w:szCs w:val="20"/>
        </w:rPr>
      </w:pPr>
      <w:r w:rsidRPr="000F399A">
        <w:rPr>
          <w:rFonts w:ascii="Tahoma" w:hAnsi="Tahoma" w:cs="Tahoma"/>
          <w:sz w:val="20"/>
          <w:szCs w:val="20"/>
        </w:rPr>
        <w:t>Dentro del equipamiento fijo a suministrar para los centros de 7 Aulas se solicitan 2 Banco 1 y 1 Banco 2.</w:t>
      </w:r>
    </w:p>
    <w:p w14:paraId="680058FA" w14:textId="77777777" w:rsidR="000F399A" w:rsidRPr="000F399A" w:rsidRDefault="000F399A" w:rsidP="000F399A">
      <w:pPr>
        <w:spacing w:after="0"/>
        <w:jc w:val="both"/>
        <w:rPr>
          <w:rFonts w:ascii="Tahoma" w:hAnsi="Tahoma" w:cs="Tahoma"/>
          <w:sz w:val="20"/>
          <w:szCs w:val="20"/>
        </w:rPr>
      </w:pPr>
      <w:r w:rsidRPr="000F399A">
        <w:rPr>
          <w:rFonts w:ascii="Tahoma" w:hAnsi="Tahoma" w:cs="Tahoma"/>
          <w:sz w:val="20"/>
          <w:szCs w:val="20"/>
        </w:rPr>
        <w:t>Solicitamos:</w:t>
      </w:r>
    </w:p>
    <w:p w14:paraId="70624CED" w14:textId="77777777" w:rsidR="000F399A" w:rsidRPr="001E47E9" w:rsidRDefault="000F399A" w:rsidP="000F399A">
      <w:pPr>
        <w:pStyle w:val="Prrafodelista"/>
        <w:numPr>
          <w:ilvl w:val="1"/>
          <w:numId w:val="15"/>
        </w:numPr>
        <w:spacing w:after="0" w:line="240" w:lineRule="auto"/>
        <w:contextualSpacing w:val="0"/>
        <w:jc w:val="both"/>
        <w:rPr>
          <w:rFonts w:ascii="Tahoma" w:eastAsia="Times New Roman" w:hAnsi="Tahoma" w:cs="Tahoma"/>
          <w:sz w:val="20"/>
          <w:szCs w:val="20"/>
        </w:rPr>
      </w:pPr>
      <w:r w:rsidRPr="001E47E9">
        <w:rPr>
          <w:rFonts w:ascii="Tahoma" w:eastAsia="Times New Roman" w:hAnsi="Tahoma" w:cs="Tahoma"/>
          <w:sz w:val="20"/>
          <w:szCs w:val="20"/>
        </w:rPr>
        <w:t xml:space="preserve">Detalles del Banco 1 </w:t>
      </w:r>
    </w:p>
    <w:p w14:paraId="062E25B3" w14:textId="77777777" w:rsidR="000F399A" w:rsidRDefault="000F399A" w:rsidP="000F399A">
      <w:pPr>
        <w:pStyle w:val="Prrafodelista"/>
        <w:numPr>
          <w:ilvl w:val="1"/>
          <w:numId w:val="15"/>
        </w:numPr>
        <w:spacing w:after="0" w:line="240" w:lineRule="auto"/>
        <w:contextualSpacing w:val="0"/>
        <w:jc w:val="both"/>
        <w:rPr>
          <w:rFonts w:ascii="Tahoma" w:eastAsia="Times New Roman" w:hAnsi="Tahoma" w:cs="Tahoma"/>
          <w:sz w:val="20"/>
          <w:szCs w:val="20"/>
        </w:rPr>
      </w:pPr>
      <w:r w:rsidRPr="001E47E9">
        <w:rPr>
          <w:rFonts w:ascii="Tahoma" w:eastAsia="Times New Roman" w:hAnsi="Tahoma" w:cs="Tahoma"/>
          <w:sz w:val="20"/>
          <w:szCs w:val="20"/>
        </w:rPr>
        <w:t xml:space="preserve">Confirmar que el Banco 2 es el Banco Largo del Equipamiento Móvil, según </w:t>
      </w:r>
      <w:r>
        <w:rPr>
          <w:rFonts w:ascii="Tahoma" w:eastAsia="Times New Roman" w:hAnsi="Tahoma" w:cs="Tahoma"/>
          <w:sz w:val="20"/>
          <w:szCs w:val="20"/>
        </w:rPr>
        <w:t xml:space="preserve">interpretación </w:t>
      </w:r>
      <w:r w:rsidRPr="001E47E9">
        <w:rPr>
          <w:rFonts w:ascii="Tahoma" w:eastAsia="Times New Roman" w:hAnsi="Tahoma" w:cs="Tahoma"/>
          <w:sz w:val="20"/>
          <w:szCs w:val="20"/>
        </w:rPr>
        <w:t>de la Consulta 20 del Comunicado Nº8.</w:t>
      </w:r>
    </w:p>
    <w:p w14:paraId="089FB15C" w14:textId="77777777" w:rsidR="006D2C86" w:rsidRPr="006D2C86" w:rsidRDefault="006D2C86" w:rsidP="006D2C86">
      <w:pPr>
        <w:spacing w:after="0"/>
        <w:jc w:val="both"/>
        <w:rPr>
          <w:b/>
          <w:caps/>
          <w:sz w:val="28"/>
          <w:szCs w:val="28"/>
          <w:u w:val="single"/>
        </w:rPr>
      </w:pPr>
      <w:r w:rsidRPr="006D2C86">
        <w:rPr>
          <w:b/>
          <w:caps/>
          <w:sz w:val="28"/>
          <w:szCs w:val="28"/>
          <w:u w:val="single"/>
        </w:rPr>
        <w:t>RESPUESTA</w:t>
      </w:r>
    </w:p>
    <w:p w14:paraId="3368F269" w14:textId="1E53B763" w:rsidR="000F399A" w:rsidRPr="006D2C86" w:rsidRDefault="000F399A" w:rsidP="006D2C86">
      <w:pPr>
        <w:spacing w:after="0"/>
        <w:rPr>
          <w:rFonts w:ascii="Calibri" w:hAnsi="Calibri" w:cs="Calibri"/>
          <w:b/>
          <w:color w:val="000000"/>
        </w:rPr>
      </w:pPr>
      <w:r w:rsidRPr="006D2C86">
        <w:rPr>
          <w:rFonts w:ascii="Calibri" w:hAnsi="Calibri" w:cs="Calibri"/>
          <w:b/>
          <w:color w:val="000000"/>
        </w:rPr>
        <w:t>a.  Se adjunta croquis del Banco 1 (Banco individual)</w:t>
      </w:r>
      <w:r w:rsidR="00B7187E">
        <w:rPr>
          <w:rFonts w:ascii="Calibri" w:hAnsi="Calibri" w:cs="Calibri"/>
          <w:b/>
          <w:color w:val="000000"/>
        </w:rPr>
        <w:t xml:space="preserve">. Puntualización 2 del Presente Comunicado. </w:t>
      </w:r>
    </w:p>
    <w:p w14:paraId="5C286A54" w14:textId="77777777" w:rsidR="000F399A" w:rsidRPr="006D2C86" w:rsidRDefault="000F399A" w:rsidP="006D2C86">
      <w:pPr>
        <w:spacing w:after="0"/>
        <w:rPr>
          <w:rFonts w:ascii="Calibri" w:hAnsi="Calibri" w:cs="Calibri"/>
          <w:b/>
          <w:color w:val="000000"/>
        </w:rPr>
      </w:pPr>
      <w:r w:rsidRPr="006D2C86">
        <w:rPr>
          <w:rFonts w:ascii="Calibri" w:hAnsi="Calibri" w:cs="Calibri"/>
          <w:b/>
          <w:color w:val="000000"/>
        </w:rPr>
        <w:t xml:space="preserve">b. Es correcto. </w:t>
      </w:r>
    </w:p>
    <w:p w14:paraId="19F09635" w14:textId="77777777" w:rsidR="000F399A" w:rsidRDefault="000F399A" w:rsidP="003361E2">
      <w:pPr>
        <w:spacing w:after="0"/>
        <w:rPr>
          <w:rFonts w:ascii="Calibri" w:hAnsi="Calibri" w:cs="Calibri"/>
          <w:b/>
          <w:color w:val="000000"/>
        </w:rPr>
      </w:pPr>
    </w:p>
    <w:p w14:paraId="02CDB130" w14:textId="7AC46B99" w:rsidR="006D2C86" w:rsidRPr="00862585" w:rsidRDefault="006D2C86" w:rsidP="006D2C86">
      <w:pPr>
        <w:spacing w:after="0"/>
        <w:jc w:val="both"/>
        <w:rPr>
          <w:b/>
          <w:caps/>
          <w:sz w:val="28"/>
          <w:szCs w:val="28"/>
          <w:u w:val="single"/>
        </w:rPr>
      </w:pPr>
      <w:r>
        <w:rPr>
          <w:b/>
          <w:caps/>
          <w:sz w:val="28"/>
          <w:szCs w:val="28"/>
          <w:u w:val="single"/>
        </w:rPr>
        <w:t>CONSULTA 10</w:t>
      </w:r>
    </w:p>
    <w:p w14:paraId="626B7BEA" w14:textId="77777777" w:rsidR="003324C4" w:rsidRPr="002A26C3" w:rsidRDefault="003324C4" w:rsidP="003324C4">
      <w:pPr>
        <w:spacing w:after="0" w:line="240" w:lineRule="auto"/>
        <w:jc w:val="both"/>
        <w:rPr>
          <w:rFonts w:ascii="Tahoma" w:hAnsi="Tahoma" w:cs="Tahoma"/>
          <w:sz w:val="20"/>
          <w:szCs w:val="20"/>
        </w:rPr>
      </w:pPr>
      <w:r w:rsidRPr="002A26C3">
        <w:rPr>
          <w:rFonts w:ascii="Tahoma" w:hAnsi="Tahoma" w:cs="Tahoma"/>
          <w:sz w:val="20"/>
          <w:szCs w:val="20"/>
        </w:rPr>
        <w:t>Dentro del equipamiento de los centros de 7 Aulas se deben suministrar dos “Mamparas tipo 3 – Estantes c/ puerta Blindex”. Favor indicar su ubicación final para ajustarnos a los estándares pedidos.</w:t>
      </w:r>
    </w:p>
    <w:p w14:paraId="3992782B" w14:textId="77777777" w:rsidR="009E191D" w:rsidRPr="002A26C3" w:rsidRDefault="009E191D" w:rsidP="002A26C3">
      <w:pPr>
        <w:spacing w:after="0" w:line="240" w:lineRule="auto"/>
        <w:jc w:val="both"/>
        <w:rPr>
          <w:rFonts w:ascii="Tahoma" w:hAnsi="Tahoma" w:cs="Tahoma"/>
          <w:sz w:val="20"/>
          <w:szCs w:val="20"/>
        </w:rPr>
      </w:pPr>
    </w:p>
    <w:p w14:paraId="4318CF61" w14:textId="77777777" w:rsidR="009E191D" w:rsidRDefault="009E191D" w:rsidP="003324C4">
      <w:pPr>
        <w:spacing w:after="0"/>
        <w:jc w:val="both"/>
        <w:rPr>
          <w:b/>
          <w:caps/>
          <w:sz w:val="28"/>
          <w:szCs w:val="28"/>
          <w:u w:val="single"/>
        </w:rPr>
      </w:pPr>
    </w:p>
    <w:p w14:paraId="727272BB" w14:textId="77777777" w:rsidR="003324C4" w:rsidRPr="006D2C86" w:rsidRDefault="003324C4" w:rsidP="003324C4">
      <w:pPr>
        <w:spacing w:after="0"/>
        <w:jc w:val="both"/>
        <w:rPr>
          <w:b/>
          <w:caps/>
          <w:sz w:val="28"/>
          <w:szCs w:val="28"/>
          <w:u w:val="single"/>
        </w:rPr>
      </w:pPr>
      <w:r w:rsidRPr="006D2C86">
        <w:rPr>
          <w:b/>
          <w:caps/>
          <w:sz w:val="28"/>
          <w:szCs w:val="28"/>
          <w:u w:val="single"/>
        </w:rPr>
        <w:lastRenderedPageBreak/>
        <w:t>RESPUESTA</w:t>
      </w:r>
    </w:p>
    <w:p w14:paraId="507DBDD0" w14:textId="77777777" w:rsidR="003324C4" w:rsidRPr="003324C4" w:rsidRDefault="003324C4" w:rsidP="003324C4">
      <w:pPr>
        <w:spacing w:after="0"/>
        <w:rPr>
          <w:rFonts w:ascii="Calibri" w:hAnsi="Calibri" w:cs="Calibri"/>
          <w:b/>
          <w:color w:val="000000"/>
        </w:rPr>
      </w:pPr>
      <w:r w:rsidRPr="003324C4">
        <w:rPr>
          <w:rFonts w:ascii="Calibri" w:hAnsi="Calibri" w:cs="Calibri"/>
          <w:b/>
          <w:color w:val="000000"/>
        </w:rPr>
        <w:t>Las mamparas podrán ser utilizadas en los locales 3 y 4 si el oferente así lo entiende, siempre y cuando se garantice la privacidad entre los diferentes locales. Los materiales serán parte de la propuesta del oferente.</w:t>
      </w:r>
    </w:p>
    <w:p w14:paraId="7E78F9BE" w14:textId="77777777" w:rsidR="006D2C86" w:rsidRDefault="006D2C86" w:rsidP="003361E2">
      <w:pPr>
        <w:spacing w:after="0"/>
        <w:rPr>
          <w:rFonts w:ascii="Calibri" w:hAnsi="Calibri" w:cs="Calibri"/>
          <w:b/>
          <w:color w:val="000000"/>
        </w:rPr>
      </w:pPr>
    </w:p>
    <w:p w14:paraId="00709508" w14:textId="0F644312" w:rsidR="00CB483D" w:rsidRPr="00862585" w:rsidRDefault="00CB483D" w:rsidP="00CB483D">
      <w:pPr>
        <w:spacing w:after="0"/>
        <w:jc w:val="both"/>
        <w:rPr>
          <w:b/>
          <w:caps/>
          <w:sz w:val="28"/>
          <w:szCs w:val="28"/>
          <w:u w:val="single"/>
        </w:rPr>
      </w:pPr>
      <w:r w:rsidRPr="00D71D83">
        <w:rPr>
          <w:b/>
          <w:caps/>
          <w:sz w:val="28"/>
          <w:szCs w:val="28"/>
          <w:u w:val="single"/>
        </w:rPr>
        <w:t>CONSULTA 11</w:t>
      </w:r>
    </w:p>
    <w:p w14:paraId="1E114614" w14:textId="15B5F11B" w:rsidR="00CB483D" w:rsidRDefault="00CB483D" w:rsidP="003361E2">
      <w:pPr>
        <w:spacing w:after="0"/>
        <w:rPr>
          <w:rFonts w:ascii="Tahoma" w:eastAsia="Times New Roman" w:hAnsi="Tahoma" w:cs="Tahoma"/>
          <w:sz w:val="20"/>
          <w:szCs w:val="20"/>
        </w:rPr>
      </w:pPr>
      <w:r>
        <w:rPr>
          <w:rFonts w:ascii="Tahoma" w:eastAsia="Times New Roman" w:hAnsi="Tahoma" w:cs="Tahoma"/>
          <w:sz w:val="20"/>
          <w:szCs w:val="20"/>
        </w:rPr>
        <w:t>Agradecemos nos indiquen la cantidad de turnos que se desarrollaran en cada uno de los centros.</w:t>
      </w:r>
    </w:p>
    <w:p w14:paraId="7FEF4CBB" w14:textId="77777777" w:rsidR="00CB483D" w:rsidRPr="006D2C86" w:rsidRDefault="00CB483D" w:rsidP="00CB483D">
      <w:pPr>
        <w:spacing w:after="0"/>
        <w:jc w:val="both"/>
        <w:rPr>
          <w:b/>
          <w:caps/>
          <w:sz w:val="28"/>
          <w:szCs w:val="28"/>
          <w:u w:val="single"/>
        </w:rPr>
      </w:pPr>
      <w:r w:rsidRPr="006D2C86">
        <w:rPr>
          <w:b/>
          <w:caps/>
          <w:sz w:val="28"/>
          <w:szCs w:val="28"/>
          <w:u w:val="single"/>
        </w:rPr>
        <w:t>RESPUESTA</w:t>
      </w:r>
    </w:p>
    <w:p w14:paraId="53A25579" w14:textId="5C5D7598" w:rsidR="00CB483D" w:rsidRDefault="00D71D83" w:rsidP="003361E2">
      <w:pPr>
        <w:spacing w:after="0"/>
        <w:rPr>
          <w:rFonts w:ascii="Calibri" w:hAnsi="Calibri" w:cs="Calibri"/>
          <w:b/>
          <w:color w:val="000000"/>
        </w:rPr>
      </w:pPr>
      <w:r>
        <w:rPr>
          <w:rFonts w:ascii="Calibri" w:hAnsi="Calibri" w:cs="Calibri"/>
          <w:b/>
          <w:color w:val="000000"/>
        </w:rPr>
        <w:t>Los turnos serán definidos dentro del horario de trabajo definido en la Cláusula 3.1 del Pliego de Condiciones Técnicas.</w:t>
      </w:r>
    </w:p>
    <w:p w14:paraId="48A2AF1A" w14:textId="77777777" w:rsidR="006707C7" w:rsidRDefault="006707C7" w:rsidP="003361E2">
      <w:pPr>
        <w:spacing w:after="0"/>
        <w:rPr>
          <w:rFonts w:ascii="Calibri" w:hAnsi="Calibri" w:cs="Calibri"/>
          <w:b/>
          <w:color w:val="000000"/>
        </w:rPr>
      </w:pPr>
    </w:p>
    <w:p w14:paraId="2C7665A0" w14:textId="53EA9D0A" w:rsidR="006707C7" w:rsidRPr="00862585" w:rsidRDefault="006707C7" w:rsidP="006707C7">
      <w:pPr>
        <w:spacing w:after="0"/>
        <w:jc w:val="both"/>
        <w:rPr>
          <w:b/>
          <w:caps/>
          <w:sz w:val="28"/>
          <w:szCs w:val="28"/>
          <w:u w:val="single"/>
        </w:rPr>
      </w:pPr>
      <w:r w:rsidRPr="008F4B8D">
        <w:rPr>
          <w:b/>
          <w:caps/>
          <w:sz w:val="28"/>
          <w:szCs w:val="28"/>
          <w:u w:val="single"/>
        </w:rPr>
        <w:t>CONSULTA 12</w:t>
      </w:r>
    </w:p>
    <w:p w14:paraId="7456DBE7" w14:textId="77777777" w:rsidR="006707C7" w:rsidRPr="002A26C3" w:rsidRDefault="006707C7" w:rsidP="00114D0F">
      <w:pPr>
        <w:spacing w:after="0" w:line="240" w:lineRule="auto"/>
        <w:jc w:val="both"/>
        <w:rPr>
          <w:rFonts w:ascii="Tahoma" w:hAnsi="Tahoma" w:cs="Tahoma"/>
          <w:sz w:val="20"/>
          <w:szCs w:val="20"/>
        </w:rPr>
      </w:pPr>
      <w:r w:rsidRPr="002A26C3">
        <w:rPr>
          <w:rFonts w:ascii="Tahoma" w:hAnsi="Tahoma" w:cs="Tahoma"/>
          <w:sz w:val="20"/>
          <w:szCs w:val="20"/>
        </w:rPr>
        <w:t>Proponemos incluir expresamente en el Pliego de Condiciones Administrativas que sea posible que un fondo de inversión o cualquier otro tipo de vehículo de inversión sean parte integrante de la SOE luego de la adjudicación provisoria o definitiva de la licitación, para lo cual proponemos la incorporación de la siguiente cláusula.</w:t>
      </w:r>
    </w:p>
    <w:p w14:paraId="433F167E" w14:textId="77777777" w:rsidR="006707C7" w:rsidRPr="002A26C3" w:rsidRDefault="006707C7" w:rsidP="00114D0F">
      <w:pPr>
        <w:spacing w:after="0" w:line="240" w:lineRule="auto"/>
        <w:jc w:val="both"/>
        <w:rPr>
          <w:rFonts w:ascii="Tahoma" w:hAnsi="Tahoma" w:cs="Tahoma"/>
          <w:sz w:val="20"/>
          <w:szCs w:val="20"/>
        </w:rPr>
      </w:pPr>
      <w:r w:rsidRPr="002A26C3">
        <w:rPr>
          <w:rFonts w:ascii="Tahoma" w:hAnsi="Tahoma" w:cs="Tahoma"/>
          <w:sz w:val="20"/>
          <w:szCs w:val="20"/>
        </w:rPr>
        <w:t>“En caso de que los Oferentes presenten en su oferta una carta de intención de un fondo de inversión, fideicomiso, persona  o entidad para su incorporación a la SOE aportando capital como accionista, dicha incorporación se entenderá aprobada por la Administración Pública Contratante, siempre que al momento de su ingreso se haya cumplido con los siguientes requisitos:</w:t>
      </w:r>
    </w:p>
    <w:p w14:paraId="664EB710" w14:textId="0373E6BF" w:rsidR="006707C7" w:rsidRPr="002A26C3" w:rsidRDefault="006707C7" w:rsidP="00114D0F">
      <w:pPr>
        <w:spacing w:after="0" w:line="240" w:lineRule="auto"/>
        <w:jc w:val="both"/>
        <w:rPr>
          <w:rFonts w:ascii="Tahoma" w:hAnsi="Tahoma" w:cs="Tahoma"/>
          <w:sz w:val="20"/>
          <w:szCs w:val="20"/>
        </w:rPr>
      </w:pPr>
      <w:r w:rsidRPr="002A26C3">
        <w:rPr>
          <w:rFonts w:ascii="Tahoma" w:hAnsi="Tahoma" w:cs="Tahoma"/>
          <w:sz w:val="20"/>
          <w:szCs w:val="20"/>
        </w:rPr>
        <w:t>a) Que el fondo de inversión, fideicomiso, persona o entidad de que se trate haya suscrito la “Declaración Jurada: Carta de Compromiso” de conformidad con la cláusula 17.1.1 y cumplir en todo lo aplicable con lo previsto en las cláusulas 17.1.1 y 17.1.2.</w:t>
      </w:r>
    </w:p>
    <w:p w14:paraId="74D1D21A" w14:textId="10804DEF" w:rsidR="006707C7" w:rsidRPr="002A26C3" w:rsidRDefault="006707C7" w:rsidP="00114D0F">
      <w:pPr>
        <w:spacing w:after="0" w:line="240" w:lineRule="auto"/>
        <w:jc w:val="both"/>
        <w:rPr>
          <w:rFonts w:ascii="Tahoma" w:hAnsi="Tahoma" w:cs="Tahoma"/>
          <w:sz w:val="20"/>
          <w:szCs w:val="20"/>
        </w:rPr>
      </w:pPr>
      <w:r w:rsidRPr="002A26C3">
        <w:rPr>
          <w:rFonts w:ascii="Tahoma" w:hAnsi="Tahoma" w:cs="Tahoma"/>
          <w:sz w:val="20"/>
          <w:szCs w:val="20"/>
        </w:rPr>
        <w:t>b) Que el fondo de inversión, fideicomiso, persona o entidad de que se trate haya cumplido con los requisitos establecidos por la Unidad de Información y Análisis Financiero del BCU (UIAF).</w:t>
      </w:r>
    </w:p>
    <w:p w14:paraId="307621DD" w14:textId="793C11B5" w:rsidR="006707C7" w:rsidRPr="002A26C3" w:rsidRDefault="006707C7" w:rsidP="00114D0F">
      <w:pPr>
        <w:spacing w:after="0" w:line="240" w:lineRule="auto"/>
        <w:jc w:val="both"/>
        <w:rPr>
          <w:rFonts w:ascii="Tahoma" w:hAnsi="Tahoma" w:cs="Tahoma"/>
          <w:sz w:val="20"/>
          <w:szCs w:val="20"/>
        </w:rPr>
      </w:pPr>
      <w:r w:rsidRPr="002A26C3">
        <w:rPr>
          <w:rFonts w:ascii="Tahoma" w:hAnsi="Tahoma" w:cs="Tahoma"/>
          <w:sz w:val="20"/>
          <w:szCs w:val="20"/>
        </w:rPr>
        <w:t>c) Que se haya informado el monto de aporte de los recursos comprometidos”.</w:t>
      </w:r>
    </w:p>
    <w:p w14:paraId="1D9146B2" w14:textId="77777777" w:rsidR="006707C7" w:rsidRDefault="006707C7" w:rsidP="006707C7">
      <w:pPr>
        <w:spacing w:after="0"/>
        <w:jc w:val="both"/>
        <w:rPr>
          <w:b/>
          <w:caps/>
          <w:sz w:val="28"/>
          <w:szCs w:val="28"/>
          <w:u w:val="single"/>
        </w:rPr>
      </w:pPr>
      <w:r w:rsidRPr="006D2C86">
        <w:rPr>
          <w:b/>
          <w:caps/>
          <w:sz w:val="28"/>
          <w:szCs w:val="28"/>
          <w:u w:val="single"/>
        </w:rPr>
        <w:t>RESPUESTA</w:t>
      </w:r>
    </w:p>
    <w:p w14:paraId="3CF7E5EF" w14:textId="58E4DE32" w:rsidR="00114D0F" w:rsidRPr="008F4B8D" w:rsidRDefault="008F4B8D" w:rsidP="006707C7">
      <w:pPr>
        <w:spacing w:after="0"/>
        <w:jc w:val="both"/>
        <w:rPr>
          <w:rFonts w:ascii="Calibri" w:hAnsi="Calibri" w:cs="Calibri"/>
          <w:b/>
          <w:color w:val="000000"/>
        </w:rPr>
      </w:pPr>
      <w:r>
        <w:rPr>
          <w:rFonts w:ascii="Calibri" w:hAnsi="Calibri" w:cs="Calibri"/>
          <w:b/>
          <w:color w:val="000000"/>
        </w:rPr>
        <w:t>S</w:t>
      </w:r>
      <w:r w:rsidR="000F389B">
        <w:rPr>
          <w:rFonts w:ascii="Calibri" w:hAnsi="Calibri" w:cs="Calibri"/>
          <w:b/>
          <w:color w:val="000000"/>
        </w:rPr>
        <w:t>e mantiene lo establecido</w:t>
      </w:r>
    </w:p>
    <w:p w14:paraId="710C0E37" w14:textId="77777777" w:rsidR="00114D0F" w:rsidRPr="006D2C86" w:rsidRDefault="00114D0F" w:rsidP="006707C7">
      <w:pPr>
        <w:spacing w:after="0"/>
        <w:jc w:val="both"/>
        <w:rPr>
          <w:b/>
          <w:caps/>
          <w:sz w:val="28"/>
          <w:szCs w:val="28"/>
          <w:u w:val="single"/>
        </w:rPr>
      </w:pPr>
    </w:p>
    <w:p w14:paraId="6DA59F52" w14:textId="4DE70BF4" w:rsidR="00114D0F" w:rsidRPr="00862585" w:rsidRDefault="00114D0F" w:rsidP="00114D0F">
      <w:pPr>
        <w:spacing w:after="0"/>
        <w:jc w:val="both"/>
        <w:rPr>
          <w:b/>
          <w:caps/>
          <w:sz w:val="28"/>
          <w:szCs w:val="28"/>
          <w:u w:val="single"/>
        </w:rPr>
      </w:pPr>
      <w:r w:rsidRPr="00CF37DC">
        <w:rPr>
          <w:b/>
          <w:caps/>
          <w:sz w:val="28"/>
          <w:szCs w:val="28"/>
          <w:u w:val="single"/>
        </w:rPr>
        <w:t>CONSULTA 13</w:t>
      </w:r>
    </w:p>
    <w:p w14:paraId="1F6AE310" w14:textId="77777777" w:rsidR="00114D0F" w:rsidRPr="00114D0F" w:rsidRDefault="00114D0F" w:rsidP="00114D0F">
      <w:pPr>
        <w:spacing w:after="0" w:line="240" w:lineRule="auto"/>
        <w:jc w:val="both"/>
        <w:rPr>
          <w:rFonts w:ascii="Tahoma" w:eastAsia="Times New Roman" w:hAnsi="Tahoma" w:cs="Tahoma"/>
          <w:sz w:val="20"/>
          <w:szCs w:val="20"/>
        </w:rPr>
      </w:pPr>
      <w:r w:rsidRPr="00114D0F">
        <w:rPr>
          <w:rFonts w:ascii="Tahoma" w:eastAsia="Times New Roman" w:hAnsi="Tahoma" w:cs="Tahoma"/>
          <w:sz w:val="20"/>
          <w:szCs w:val="20"/>
        </w:rPr>
        <w:t>Considerando que para los primeros llamados de proyectos educativos a través de la fórmula PPP se emitieron las Resoluciones 060/017 y 518/017, otorgando  a tales proyectos determinadas exoneraciones fiscales, solicitamos favor se aclare si existe una Resolución similar para el presente proyecto y si aplican en su caso y de la misma forma los mismos beneficios fiscales reflejados.</w:t>
      </w:r>
    </w:p>
    <w:p w14:paraId="07FF70BD" w14:textId="77777777" w:rsidR="00114D0F" w:rsidRDefault="00114D0F" w:rsidP="00114D0F">
      <w:pPr>
        <w:spacing w:after="0"/>
        <w:jc w:val="both"/>
        <w:rPr>
          <w:b/>
          <w:caps/>
          <w:sz w:val="28"/>
          <w:szCs w:val="28"/>
          <w:u w:val="single"/>
        </w:rPr>
      </w:pPr>
      <w:r w:rsidRPr="006D2C86">
        <w:rPr>
          <w:b/>
          <w:caps/>
          <w:sz w:val="28"/>
          <w:szCs w:val="28"/>
          <w:u w:val="single"/>
        </w:rPr>
        <w:t>RESPUESTA</w:t>
      </w:r>
    </w:p>
    <w:p w14:paraId="75BD0A6A" w14:textId="60FF77C3" w:rsidR="00217F1B" w:rsidRPr="00217F1B" w:rsidRDefault="00217F1B" w:rsidP="00114D0F">
      <w:pPr>
        <w:spacing w:after="0"/>
        <w:jc w:val="both"/>
        <w:rPr>
          <w:rFonts w:ascii="Calibri" w:hAnsi="Calibri" w:cs="Calibri"/>
          <w:b/>
          <w:color w:val="000000"/>
        </w:rPr>
      </w:pPr>
      <w:r>
        <w:rPr>
          <w:rFonts w:ascii="Calibri" w:hAnsi="Calibri" w:cs="Calibri"/>
          <w:b/>
          <w:color w:val="000000"/>
        </w:rPr>
        <w:t>Existe un proyecto de resolución en los mismos términos que los llamados anteriores.</w:t>
      </w:r>
    </w:p>
    <w:p w14:paraId="2424494C" w14:textId="77777777" w:rsidR="006707C7" w:rsidRDefault="006707C7" w:rsidP="006707C7">
      <w:pPr>
        <w:spacing w:after="0"/>
        <w:jc w:val="both"/>
        <w:rPr>
          <w:rFonts w:ascii="Calibri" w:hAnsi="Calibri" w:cs="Calibri"/>
          <w:b/>
          <w:color w:val="000000"/>
        </w:rPr>
      </w:pPr>
    </w:p>
    <w:p w14:paraId="686E9297" w14:textId="4E6CE6B1" w:rsidR="00ED0148" w:rsidRPr="00862585" w:rsidRDefault="00ED0148" w:rsidP="00ED0148">
      <w:pPr>
        <w:spacing w:after="0"/>
        <w:jc w:val="both"/>
        <w:rPr>
          <w:b/>
          <w:caps/>
          <w:sz w:val="28"/>
          <w:szCs w:val="28"/>
          <w:u w:val="single"/>
        </w:rPr>
      </w:pPr>
      <w:r>
        <w:rPr>
          <w:b/>
          <w:caps/>
          <w:sz w:val="28"/>
          <w:szCs w:val="28"/>
          <w:u w:val="single"/>
        </w:rPr>
        <w:t>CONSULTA 14</w:t>
      </w:r>
    </w:p>
    <w:p w14:paraId="48E7FBF4" w14:textId="77777777" w:rsidR="00ED0148" w:rsidRPr="002A26C3" w:rsidRDefault="00ED0148" w:rsidP="002A26C3">
      <w:pPr>
        <w:spacing w:after="0" w:line="240" w:lineRule="auto"/>
        <w:jc w:val="both"/>
        <w:rPr>
          <w:rFonts w:ascii="Tahoma" w:hAnsi="Tahoma" w:cs="Tahoma"/>
          <w:sz w:val="20"/>
          <w:szCs w:val="20"/>
        </w:rPr>
      </w:pPr>
      <w:r w:rsidRPr="002A26C3">
        <w:rPr>
          <w:rFonts w:ascii="Tahoma" w:hAnsi="Tahoma" w:cs="Tahoma"/>
          <w:sz w:val="20"/>
          <w:szCs w:val="20"/>
        </w:rPr>
        <w:t xml:space="preserve">Proponemos incluir expresamente en el Pliego de Condiciones Administrativas que sea posible que un fondo de inversión o cualquier otro tipo de vehículo de inversión sean parte integrante de la SOE, sugerimos incorporar la cláusula siguiente: </w:t>
      </w:r>
    </w:p>
    <w:p w14:paraId="06B98FD1" w14:textId="77777777" w:rsidR="00ED0148" w:rsidRPr="002A26C3" w:rsidRDefault="00ED0148" w:rsidP="002A26C3">
      <w:pPr>
        <w:spacing w:after="0" w:line="240" w:lineRule="auto"/>
        <w:jc w:val="both"/>
        <w:rPr>
          <w:rFonts w:ascii="Tahoma" w:hAnsi="Tahoma" w:cs="Tahoma"/>
          <w:sz w:val="20"/>
          <w:szCs w:val="20"/>
        </w:rPr>
      </w:pPr>
      <w:r w:rsidRPr="002A26C3">
        <w:rPr>
          <w:rFonts w:ascii="Tahoma" w:hAnsi="Tahoma" w:cs="Tahoma"/>
          <w:sz w:val="20"/>
          <w:szCs w:val="20"/>
        </w:rPr>
        <w:t>“En caso de que el Oferente esté integrado por un fondo de inversión, fideicomiso, persona o entidad que participe del proyecto aportando capital deberá considerarse lo siguiente:</w:t>
      </w:r>
    </w:p>
    <w:p w14:paraId="17CF060B" w14:textId="77777777" w:rsidR="00ED0148" w:rsidRPr="002A26C3" w:rsidRDefault="00ED0148" w:rsidP="002A26C3">
      <w:pPr>
        <w:spacing w:after="0" w:line="240" w:lineRule="auto"/>
        <w:jc w:val="both"/>
        <w:rPr>
          <w:rFonts w:ascii="Tahoma" w:hAnsi="Tahoma" w:cs="Tahoma"/>
          <w:sz w:val="20"/>
          <w:szCs w:val="20"/>
        </w:rPr>
      </w:pPr>
      <w:r w:rsidRPr="002A26C3">
        <w:rPr>
          <w:rFonts w:ascii="Tahoma" w:hAnsi="Tahoma" w:cs="Tahoma"/>
          <w:sz w:val="20"/>
          <w:szCs w:val="20"/>
        </w:rPr>
        <w:t xml:space="preserve">Los fondos de inversión, fideicomisos, personas o entidades deberán suscribir la “Declaración Jurada: Carta de Compromiso” de conformidad con la cláusula 17.1.1 y cumplir en todo lo aplicable con lo previsto en las cláusulas 17.1.1. A los efectos de acreditar los antecedentes financieros, el fondo de inversión, fideicomiso, persona o entidad de que se trate podrá presentar balances, compromisos de suscripción o cualquier otra documentación pertinente que acredite dichos antecedentes de conformidad con su estructura jurídica. </w:t>
      </w:r>
      <w:r w:rsidRPr="002A26C3">
        <w:rPr>
          <w:rFonts w:ascii="Tahoma" w:hAnsi="Tahoma" w:cs="Tahoma"/>
          <w:sz w:val="20"/>
          <w:szCs w:val="20"/>
        </w:rPr>
        <w:lastRenderedPageBreak/>
        <w:t xml:space="preserve">Esta información también deberá ser presentada en caso de ingreso posterior al accionariado de la Sociedad Contratista de conformidad con lo previsto en la cláusula 5.2.1 del Contrato de PPP. </w:t>
      </w:r>
    </w:p>
    <w:p w14:paraId="12371210" w14:textId="7C27818D" w:rsidR="00ED0148" w:rsidRPr="002A26C3" w:rsidRDefault="00ED0148" w:rsidP="002A26C3">
      <w:pPr>
        <w:spacing w:after="0" w:line="240" w:lineRule="auto"/>
        <w:jc w:val="both"/>
        <w:rPr>
          <w:rFonts w:ascii="Tahoma" w:hAnsi="Tahoma" w:cs="Tahoma"/>
          <w:sz w:val="20"/>
          <w:szCs w:val="20"/>
        </w:rPr>
      </w:pPr>
      <w:r w:rsidRPr="002A26C3">
        <w:rPr>
          <w:rFonts w:ascii="Tahoma" w:hAnsi="Tahoma" w:cs="Tahoma"/>
          <w:sz w:val="20"/>
          <w:szCs w:val="20"/>
        </w:rPr>
        <w:t>En la medida en que su participación refiera al aporte de capital, la Experiencia del Oferente y la Oferta Técnica a las que se hace mención en las cláusulas 17.1.3 y 17.1.4 del presente Pliego podrán ser acreditada por los demás integrantes del Oferente, excluyendo al fondo de inversión, fideicomiso, persona o entidad que aporte capital”.</w:t>
      </w:r>
    </w:p>
    <w:p w14:paraId="16FC35DB" w14:textId="77777777" w:rsidR="00ED0148" w:rsidRDefault="00ED0148" w:rsidP="00ED0148">
      <w:pPr>
        <w:spacing w:after="0"/>
        <w:jc w:val="both"/>
        <w:rPr>
          <w:b/>
          <w:caps/>
          <w:sz w:val="28"/>
          <w:szCs w:val="28"/>
          <w:u w:val="single"/>
        </w:rPr>
      </w:pPr>
      <w:r w:rsidRPr="006D2C86">
        <w:rPr>
          <w:b/>
          <w:caps/>
          <w:sz w:val="28"/>
          <w:szCs w:val="28"/>
          <w:u w:val="single"/>
        </w:rPr>
        <w:t>RESPUESTA</w:t>
      </w:r>
    </w:p>
    <w:p w14:paraId="6652F134" w14:textId="6B4B9321" w:rsidR="00ED0148" w:rsidRDefault="00ED0148" w:rsidP="00ED0148">
      <w:pPr>
        <w:spacing w:after="0"/>
        <w:jc w:val="both"/>
        <w:rPr>
          <w:rFonts w:ascii="Calibri" w:hAnsi="Calibri" w:cs="Calibri"/>
          <w:b/>
          <w:color w:val="000000"/>
        </w:rPr>
      </w:pPr>
      <w:r w:rsidRPr="00ED0148">
        <w:rPr>
          <w:rFonts w:ascii="Calibri" w:hAnsi="Calibri" w:cs="Calibri"/>
          <w:b/>
          <w:color w:val="000000"/>
        </w:rPr>
        <w:t>Se mantiene lo establecido. Ver respuesta 3 del comunicado 11</w:t>
      </w:r>
      <w:r>
        <w:rPr>
          <w:rFonts w:ascii="Calibri" w:hAnsi="Calibri" w:cs="Calibri"/>
          <w:b/>
          <w:color w:val="000000"/>
        </w:rPr>
        <w:t>.</w:t>
      </w:r>
    </w:p>
    <w:p w14:paraId="2C5E5B20" w14:textId="77777777" w:rsidR="00B3574C" w:rsidRDefault="00B3574C" w:rsidP="00ED0148">
      <w:pPr>
        <w:spacing w:after="0"/>
        <w:jc w:val="both"/>
        <w:rPr>
          <w:rFonts w:ascii="Calibri" w:hAnsi="Calibri" w:cs="Calibri"/>
          <w:b/>
          <w:color w:val="000000"/>
        </w:rPr>
      </w:pPr>
    </w:p>
    <w:p w14:paraId="6FA3D4EE" w14:textId="33AC1A01" w:rsidR="00B3574C" w:rsidRPr="00862585" w:rsidRDefault="00B3574C" w:rsidP="00B3574C">
      <w:pPr>
        <w:spacing w:after="0"/>
        <w:jc w:val="both"/>
        <w:rPr>
          <w:b/>
          <w:caps/>
          <w:sz w:val="28"/>
          <w:szCs w:val="28"/>
          <w:u w:val="single"/>
        </w:rPr>
      </w:pPr>
      <w:r>
        <w:rPr>
          <w:b/>
          <w:caps/>
          <w:sz w:val="28"/>
          <w:szCs w:val="28"/>
          <w:u w:val="single"/>
        </w:rPr>
        <w:t>CONSULTA 15</w:t>
      </w:r>
    </w:p>
    <w:p w14:paraId="3D44CF04" w14:textId="77777777" w:rsidR="00B3574C" w:rsidRPr="00B3574C" w:rsidRDefault="00B3574C" w:rsidP="00B3574C">
      <w:pPr>
        <w:spacing w:after="0" w:line="240" w:lineRule="auto"/>
        <w:jc w:val="both"/>
        <w:rPr>
          <w:rFonts w:ascii="Tahoma" w:hAnsi="Tahoma" w:cs="Tahoma"/>
          <w:sz w:val="20"/>
          <w:szCs w:val="20"/>
        </w:rPr>
      </w:pPr>
      <w:r w:rsidRPr="00B3574C">
        <w:rPr>
          <w:rFonts w:ascii="Tahoma" w:hAnsi="Tahoma" w:cs="Tahoma"/>
          <w:sz w:val="20"/>
          <w:szCs w:val="20"/>
        </w:rPr>
        <w:t xml:space="preserve">Favor confirmar nuestro entendimiento de que para la acreditación de la Experiencia del Oferente exigida por la cláusula 17.1.3 del Pliego de Condiciones Administrativas, no es posible utilizar metros cuadrados (m2) de construcción que ya hayan sido presentados como acreditante de experiencia por adjudicatarios provisionales o definitivos en las Licitaciones de PPP Educativas 1, 2 y 3. Es decir, los adjudicatarios provisionales o definitivos de las Licitaciones de PPP Educativa 1, 2 y 3 no podrán acreditar su experiencia en la Licitación PPP Educativa 4 utilizando los mismos metros cuadrados (m2) de construcción que utilizaron para acreditar su experiencia al ofertar bajo las Licitaciones de PPP Educativa 1, 2 y 3. </w:t>
      </w:r>
    </w:p>
    <w:p w14:paraId="13C691D7" w14:textId="77777777" w:rsidR="00B3574C" w:rsidRPr="00B3574C" w:rsidRDefault="00B3574C" w:rsidP="00B3574C">
      <w:pPr>
        <w:spacing w:after="0" w:line="240" w:lineRule="auto"/>
        <w:jc w:val="both"/>
        <w:rPr>
          <w:rFonts w:ascii="Tahoma" w:hAnsi="Tahoma" w:cs="Tahoma"/>
          <w:sz w:val="20"/>
          <w:szCs w:val="20"/>
        </w:rPr>
      </w:pPr>
      <w:r w:rsidRPr="00B3574C">
        <w:rPr>
          <w:rFonts w:ascii="Tahoma" w:hAnsi="Tahoma" w:cs="Tahoma"/>
          <w:sz w:val="20"/>
          <w:szCs w:val="20"/>
        </w:rPr>
        <w:t>Nuestro entendimiento se basa en que la acreditación de experiencia en base a metros cuadrados (m2) de construcción funciona como un indicador de la capacidad de ejecución de las obras requeridas y que para ser adjudicatario de más de un proyecto de PPP no debería bastar simplemente 85.000 metros cuadrados (m2) de construcción.</w:t>
      </w:r>
    </w:p>
    <w:p w14:paraId="6B5282EC" w14:textId="77777777" w:rsidR="00B3574C" w:rsidRDefault="00B3574C" w:rsidP="00B3574C">
      <w:pPr>
        <w:spacing w:after="0"/>
        <w:jc w:val="both"/>
        <w:rPr>
          <w:b/>
          <w:caps/>
          <w:sz w:val="28"/>
          <w:szCs w:val="28"/>
          <w:u w:val="single"/>
        </w:rPr>
      </w:pPr>
      <w:r w:rsidRPr="006D2C86">
        <w:rPr>
          <w:b/>
          <w:caps/>
          <w:sz w:val="28"/>
          <w:szCs w:val="28"/>
          <w:u w:val="single"/>
        </w:rPr>
        <w:t>RESPUESTA</w:t>
      </w:r>
    </w:p>
    <w:p w14:paraId="43D5A039" w14:textId="750C1DC6" w:rsidR="00B3574C" w:rsidRPr="00B3574C" w:rsidRDefault="0078649B" w:rsidP="00B3574C">
      <w:pPr>
        <w:spacing w:after="0" w:line="240" w:lineRule="auto"/>
        <w:contextualSpacing/>
        <w:jc w:val="both"/>
        <w:rPr>
          <w:rFonts w:ascii="Calibri" w:hAnsi="Calibri" w:cs="Calibri"/>
          <w:b/>
          <w:color w:val="000000"/>
        </w:rPr>
      </w:pPr>
      <w:r>
        <w:rPr>
          <w:rFonts w:ascii="Calibri" w:hAnsi="Calibri" w:cs="Calibri"/>
          <w:b/>
          <w:color w:val="000000"/>
        </w:rPr>
        <w:t>La interpretación no es correcta.</w:t>
      </w:r>
      <w:bookmarkStart w:id="1" w:name="_GoBack"/>
      <w:bookmarkEnd w:id="1"/>
    </w:p>
    <w:p w14:paraId="3ADA9C1D" w14:textId="77777777" w:rsidR="00B3574C" w:rsidRPr="00ED0148" w:rsidRDefault="00B3574C" w:rsidP="00ED0148">
      <w:pPr>
        <w:spacing w:after="0"/>
        <w:jc w:val="both"/>
        <w:rPr>
          <w:rFonts w:ascii="Calibri" w:hAnsi="Calibri" w:cs="Calibri"/>
          <w:b/>
          <w:color w:val="000000"/>
        </w:rPr>
      </w:pPr>
    </w:p>
    <w:sectPr w:rsidR="00B3574C" w:rsidRPr="00ED0148" w:rsidSect="003361E2">
      <w:headerReference w:type="default" r:id="rId12"/>
      <w:pgSz w:w="11906" w:h="16838"/>
      <w:pgMar w:top="1418" w:right="1276" w:bottom="1418" w:left="11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1F82" w14:textId="77777777" w:rsidR="00B837A3" w:rsidRDefault="00B837A3" w:rsidP="008A5A54">
      <w:pPr>
        <w:spacing w:after="0" w:line="240" w:lineRule="auto"/>
      </w:pPr>
      <w:r>
        <w:separator/>
      </w:r>
    </w:p>
  </w:endnote>
  <w:endnote w:type="continuationSeparator" w:id="0">
    <w:p w14:paraId="3F7CDF5D" w14:textId="77777777" w:rsidR="00B837A3" w:rsidRDefault="00B837A3"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950E" w14:textId="77777777" w:rsidR="00B837A3" w:rsidRDefault="00B837A3" w:rsidP="008A5A54">
      <w:pPr>
        <w:spacing w:after="0" w:line="240" w:lineRule="auto"/>
      </w:pPr>
      <w:r>
        <w:separator/>
      </w:r>
    </w:p>
  </w:footnote>
  <w:footnote w:type="continuationSeparator" w:id="0">
    <w:p w14:paraId="355BEBE7" w14:textId="77777777" w:rsidR="00B837A3" w:rsidRDefault="00B837A3"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E70D" w14:textId="77777777" w:rsidR="00E52AE7" w:rsidRPr="008A5A54" w:rsidRDefault="00E52AE7" w:rsidP="008A5A54">
    <w:pPr>
      <w:pStyle w:val="Encabezado"/>
    </w:pPr>
    <w:r>
      <w:rPr>
        <w:noProof/>
        <w:lang w:val="es-UY" w:eastAsia="es-UY"/>
      </w:rPr>
      <w:drawing>
        <wp:anchor distT="0" distB="0" distL="114300" distR="114300" simplePos="0" relativeHeight="251658240" behindDoc="1" locked="0" layoutInCell="1" allowOverlap="1" wp14:anchorId="4608076B" wp14:editId="3D11791A">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6D5"/>
    <w:multiLevelType w:val="hybridMultilevel"/>
    <w:tmpl w:val="183E50A6"/>
    <w:lvl w:ilvl="0" w:tplc="4664D69E">
      <w:start w:val="1"/>
      <w:numFmt w:val="lowerLetter"/>
      <w:lvlText w:val="%1)"/>
      <w:lvlJc w:val="left"/>
      <w:pPr>
        <w:ind w:left="720" w:hanging="360"/>
      </w:pPr>
      <w:rPr>
        <w:rFonts w:ascii="Calibri" w:eastAsia="Calibri" w:hAnsi="Calibri" w:cs="Times New Roman" w:hint="default"/>
        <w:b w:val="0"/>
        <w:sz w:val="22"/>
        <w:u w:val="none"/>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D621635"/>
    <w:multiLevelType w:val="hybridMultilevel"/>
    <w:tmpl w:val="23748F14"/>
    <w:lvl w:ilvl="0" w:tplc="EBD86B7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B6B0B50"/>
    <w:multiLevelType w:val="hybridMultilevel"/>
    <w:tmpl w:val="61E03172"/>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
    <w:nsid w:val="1C5E6C7C"/>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C030AC"/>
    <w:multiLevelType w:val="hybridMultilevel"/>
    <w:tmpl w:val="8D5C71DE"/>
    <w:lvl w:ilvl="0" w:tplc="F3B656C4">
      <w:start w:val="1"/>
      <w:numFmt w:val="decimal"/>
      <w:lvlText w:val="%1."/>
      <w:lvlJc w:val="left"/>
      <w:pPr>
        <w:ind w:left="25395" w:hanging="360"/>
      </w:pPr>
      <w:rPr>
        <w:b/>
      </w:rPr>
    </w:lvl>
    <w:lvl w:ilvl="1" w:tplc="380A0019" w:tentative="1">
      <w:start w:val="1"/>
      <w:numFmt w:val="lowerLetter"/>
      <w:lvlText w:val="%2."/>
      <w:lvlJc w:val="left"/>
      <w:pPr>
        <w:ind w:left="26115" w:hanging="360"/>
      </w:pPr>
    </w:lvl>
    <w:lvl w:ilvl="2" w:tplc="380A001B" w:tentative="1">
      <w:start w:val="1"/>
      <w:numFmt w:val="lowerRoman"/>
      <w:lvlText w:val="%3."/>
      <w:lvlJc w:val="right"/>
      <w:pPr>
        <w:ind w:left="26835" w:hanging="180"/>
      </w:pPr>
    </w:lvl>
    <w:lvl w:ilvl="3" w:tplc="380A000F" w:tentative="1">
      <w:start w:val="1"/>
      <w:numFmt w:val="decimal"/>
      <w:lvlText w:val="%4."/>
      <w:lvlJc w:val="left"/>
      <w:pPr>
        <w:ind w:left="27555" w:hanging="360"/>
      </w:pPr>
    </w:lvl>
    <w:lvl w:ilvl="4" w:tplc="380A0019" w:tentative="1">
      <w:start w:val="1"/>
      <w:numFmt w:val="lowerLetter"/>
      <w:lvlText w:val="%5."/>
      <w:lvlJc w:val="left"/>
      <w:pPr>
        <w:ind w:left="28275" w:hanging="360"/>
      </w:pPr>
    </w:lvl>
    <w:lvl w:ilvl="5" w:tplc="380A001B" w:tentative="1">
      <w:start w:val="1"/>
      <w:numFmt w:val="lowerRoman"/>
      <w:lvlText w:val="%6."/>
      <w:lvlJc w:val="right"/>
      <w:pPr>
        <w:ind w:left="28995" w:hanging="180"/>
      </w:pPr>
    </w:lvl>
    <w:lvl w:ilvl="6" w:tplc="380A000F" w:tentative="1">
      <w:start w:val="1"/>
      <w:numFmt w:val="decimal"/>
      <w:lvlText w:val="%7."/>
      <w:lvlJc w:val="left"/>
      <w:pPr>
        <w:ind w:left="29715" w:hanging="360"/>
      </w:pPr>
    </w:lvl>
    <w:lvl w:ilvl="7" w:tplc="380A0019" w:tentative="1">
      <w:start w:val="1"/>
      <w:numFmt w:val="lowerLetter"/>
      <w:lvlText w:val="%8."/>
      <w:lvlJc w:val="left"/>
      <w:pPr>
        <w:ind w:left="30435" w:hanging="360"/>
      </w:pPr>
    </w:lvl>
    <w:lvl w:ilvl="8" w:tplc="380A001B" w:tentative="1">
      <w:start w:val="1"/>
      <w:numFmt w:val="lowerRoman"/>
      <w:lvlText w:val="%9."/>
      <w:lvlJc w:val="right"/>
      <w:pPr>
        <w:ind w:left="31155" w:hanging="180"/>
      </w:pPr>
    </w:lvl>
  </w:abstractNum>
  <w:abstractNum w:abstractNumId="5">
    <w:nsid w:val="242307B1"/>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5E5A69"/>
    <w:multiLevelType w:val="hybridMultilevel"/>
    <w:tmpl w:val="8424F9D4"/>
    <w:lvl w:ilvl="0" w:tplc="FE36FAF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6763BEC"/>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4D7CBE"/>
    <w:multiLevelType w:val="hybridMultilevel"/>
    <w:tmpl w:val="01A2DC0C"/>
    <w:lvl w:ilvl="0" w:tplc="C0CAAD82">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75531B4"/>
    <w:multiLevelType w:val="hybridMultilevel"/>
    <w:tmpl w:val="C2ACD562"/>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C83674D"/>
    <w:multiLevelType w:val="hybridMultilevel"/>
    <w:tmpl w:val="654EF33E"/>
    <w:lvl w:ilvl="0" w:tplc="0C0A0015">
      <w:start w:val="1"/>
      <w:numFmt w:val="upperLetter"/>
      <w:lvlText w:val="%1."/>
      <w:lvlJc w:val="left"/>
      <w:pPr>
        <w:ind w:left="1428" w:hanging="360"/>
      </w:pPr>
      <w:rPr>
        <w:rFonts w:hint="default"/>
      </w:rPr>
    </w:lvl>
    <w:lvl w:ilvl="1" w:tplc="0C0A0005">
      <w:start w:val="1"/>
      <w:numFmt w:val="bullet"/>
      <w:lvlText w:val=""/>
      <w:lvlJc w:val="left"/>
      <w:pPr>
        <w:ind w:left="2148" w:hanging="360"/>
      </w:pPr>
      <w:rPr>
        <w:rFonts w:ascii="Wingdings" w:hAnsi="Wingdings"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16B1269"/>
    <w:multiLevelType w:val="hybridMultilevel"/>
    <w:tmpl w:val="172A2974"/>
    <w:lvl w:ilvl="0" w:tplc="4BF8DD4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367B49FE"/>
    <w:multiLevelType w:val="hybridMultilevel"/>
    <w:tmpl w:val="CC5EB23C"/>
    <w:lvl w:ilvl="0" w:tplc="285E0504">
      <w:start w:val="1"/>
      <w:numFmt w:val="lowerLetter"/>
      <w:lvlText w:val="%1)"/>
      <w:lvlJc w:val="left"/>
      <w:pPr>
        <w:ind w:left="720" w:hanging="360"/>
      </w:pPr>
      <w:rPr>
        <w:rFonts w:eastAsia="Times New Roman" w:hint="default"/>
        <w:b w:val="0"/>
        <w:sz w:val="22"/>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4373224"/>
    <w:multiLevelType w:val="hybridMultilevel"/>
    <w:tmpl w:val="E8BE5A44"/>
    <w:lvl w:ilvl="0" w:tplc="38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1A0E95"/>
    <w:multiLevelType w:val="hybridMultilevel"/>
    <w:tmpl w:val="2A8816C0"/>
    <w:lvl w:ilvl="0" w:tplc="380A001B">
      <w:start w:val="1"/>
      <w:numFmt w:val="lowerRoman"/>
      <w:lvlText w:val="%1."/>
      <w:lvlJc w:val="right"/>
      <w:pPr>
        <w:ind w:left="1146" w:hanging="360"/>
      </w:p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15">
    <w:nsid w:val="4F913BAE"/>
    <w:multiLevelType w:val="hybridMultilevel"/>
    <w:tmpl w:val="A0D23BFE"/>
    <w:lvl w:ilvl="0" w:tplc="DCEA96FE">
      <w:start w:val="1"/>
      <w:numFmt w:val="decimal"/>
      <w:lvlText w:val="%1."/>
      <w:lvlJc w:val="left"/>
      <w:pPr>
        <w:ind w:left="1146"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F9F47C7"/>
    <w:multiLevelType w:val="hybridMultilevel"/>
    <w:tmpl w:val="2D4AC5FA"/>
    <w:lvl w:ilvl="0" w:tplc="905EE27C">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7">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34308E"/>
    <w:multiLevelType w:val="hybridMultilevel"/>
    <w:tmpl w:val="C2ACD562"/>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2215612"/>
    <w:multiLevelType w:val="multilevel"/>
    <w:tmpl w:val="4CE2136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012ADC"/>
    <w:multiLevelType w:val="hybridMultilevel"/>
    <w:tmpl w:val="EA44BBCC"/>
    <w:lvl w:ilvl="0" w:tplc="380A001B">
      <w:start w:val="1"/>
      <w:numFmt w:val="lowerRoman"/>
      <w:lvlText w:val="%1."/>
      <w:lvlJc w:val="right"/>
      <w:pPr>
        <w:ind w:left="1146" w:hanging="360"/>
      </w:p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21">
    <w:nsid w:val="7E6F3CC2"/>
    <w:multiLevelType w:val="hybridMultilevel"/>
    <w:tmpl w:val="D00024D2"/>
    <w:lvl w:ilvl="0" w:tplc="84D210BE">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0"/>
  </w:num>
  <w:num w:numId="8">
    <w:abstractNumId w:val="6"/>
  </w:num>
  <w:num w:numId="9">
    <w:abstractNumId w:val="3"/>
  </w:num>
  <w:num w:numId="10">
    <w:abstractNumId w:val="19"/>
  </w:num>
  <w:num w:numId="11">
    <w:abstractNumId w:val="13"/>
  </w:num>
  <w:num w:numId="12">
    <w:abstractNumId w:val="7"/>
  </w:num>
  <w:num w:numId="13">
    <w:abstractNumId w:val="11"/>
  </w:num>
  <w:num w:numId="14">
    <w:abstractNumId w:val="18"/>
  </w:num>
  <w:num w:numId="15">
    <w:abstractNumId w:val="9"/>
  </w:num>
  <w:num w:numId="16">
    <w:abstractNumId w:val="4"/>
  </w:num>
  <w:num w:numId="17">
    <w:abstractNumId w:val="2"/>
  </w:num>
  <w:num w:numId="18">
    <w:abstractNumId w:val="15"/>
  </w:num>
  <w:num w:numId="19">
    <w:abstractNumId w:val="14"/>
  </w:num>
  <w:num w:numId="20">
    <w:abstractNumId w:val="21"/>
  </w:num>
  <w:num w:numId="21">
    <w:abstractNumId w:val="8"/>
  </w:num>
  <w:num w:numId="22">
    <w:abstractNumId w:val="10"/>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4"/>
    <w:rsid w:val="00000892"/>
    <w:rsid w:val="00001BE9"/>
    <w:rsid w:val="000079D8"/>
    <w:rsid w:val="000334D0"/>
    <w:rsid w:val="00034A7F"/>
    <w:rsid w:val="000354F2"/>
    <w:rsid w:val="00040541"/>
    <w:rsid w:val="00053934"/>
    <w:rsid w:val="00057F88"/>
    <w:rsid w:val="000614A3"/>
    <w:rsid w:val="000679D7"/>
    <w:rsid w:val="00076363"/>
    <w:rsid w:val="00082808"/>
    <w:rsid w:val="000A4D82"/>
    <w:rsid w:val="000A4E7F"/>
    <w:rsid w:val="000C161E"/>
    <w:rsid w:val="000C4C7A"/>
    <w:rsid w:val="000C7DFD"/>
    <w:rsid w:val="000D4456"/>
    <w:rsid w:val="000D7933"/>
    <w:rsid w:val="000F17A4"/>
    <w:rsid w:val="000F389B"/>
    <w:rsid w:val="000F399A"/>
    <w:rsid w:val="00112B77"/>
    <w:rsid w:val="00114D0F"/>
    <w:rsid w:val="00120BE1"/>
    <w:rsid w:val="0012101A"/>
    <w:rsid w:val="00140779"/>
    <w:rsid w:val="0015005A"/>
    <w:rsid w:val="00152213"/>
    <w:rsid w:val="001542DC"/>
    <w:rsid w:val="00156A74"/>
    <w:rsid w:val="00172AD5"/>
    <w:rsid w:val="00172E3A"/>
    <w:rsid w:val="00182B70"/>
    <w:rsid w:val="001873BC"/>
    <w:rsid w:val="00187492"/>
    <w:rsid w:val="0018782C"/>
    <w:rsid w:val="001B0DC4"/>
    <w:rsid w:val="001B2F04"/>
    <w:rsid w:val="001C0E87"/>
    <w:rsid w:val="001C2861"/>
    <w:rsid w:val="001C2E69"/>
    <w:rsid w:val="001C3F3A"/>
    <w:rsid w:val="001D390E"/>
    <w:rsid w:val="001D3A18"/>
    <w:rsid w:val="001D3EAC"/>
    <w:rsid w:val="001F65EE"/>
    <w:rsid w:val="00206684"/>
    <w:rsid w:val="00210450"/>
    <w:rsid w:val="00215E1E"/>
    <w:rsid w:val="00217F1B"/>
    <w:rsid w:val="00230E3F"/>
    <w:rsid w:val="00235EB9"/>
    <w:rsid w:val="00246189"/>
    <w:rsid w:val="0024637A"/>
    <w:rsid w:val="00252E75"/>
    <w:rsid w:val="00261BB8"/>
    <w:rsid w:val="00266F95"/>
    <w:rsid w:val="00273C24"/>
    <w:rsid w:val="00274725"/>
    <w:rsid w:val="0027768E"/>
    <w:rsid w:val="00277E9B"/>
    <w:rsid w:val="00281C8D"/>
    <w:rsid w:val="002842AC"/>
    <w:rsid w:val="00285237"/>
    <w:rsid w:val="00285DFB"/>
    <w:rsid w:val="00290419"/>
    <w:rsid w:val="002A1530"/>
    <w:rsid w:val="002A26C3"/>
    <w:rsid w:val="002A7A26"/>
    <w:rsid w:val="002C1299"/>
    <w:rsid w:val="002C7E8D"/>
    <w:rsid w:val="002E43CC"/>
    <w:rsid w:val="002F06D5"/>
    <w:rsid w:val="002F09DF"/>
    <w:rsid w:val="002F36C5"/>
    <w:rsid w:val="002F3FF5"/>
    <w:rsid w:val="002F6052"/>
    <w:rsid w:val="0030659E"/>
    <w:rsid w:val="00311ABC"/>
    <w:rsid w:val="00312BD7"/>
    <w:rsid w:val="003161E1"/>
    <w:rsid w:val="00331AAD"/>
    <w:rsid w:val="003324C4"/>
    <w:rsid w:val="003361E2"/>
    <w:rsid w:val="00337ED6"/>
    <w:rsid w:val="0035250A"/>
    <w:rsid w:val="00366AF4"/>
    <w:rsid w:val="00396F63"/>
    <w:rsid w:val="003B3017"/>
    <w:rsid w:val="003B40B3"/>
    <w:rsid w:val="003B4579"/>
    <w:rsid w:val="003C3A9F"/>
    <w:rsid w:val="003D06DA"/>
    <w:rsid w:val="003D10B3"/>
    <w:rsid w:val="003F6A1A"/>
    <w:rsid w:val="0040133C"/>
    <w:rsid w:val="00406003"/>
    <w:rsid w:val="00407B5F"/>
    <w:rsid w:val="0041028F"/>
    <w:rsid w:val="004110D6"/>
    <w:rsid w:val="00426260"/>
    <w:rsid w:val="00432D74"/>
    <w:rsid w:val="00434F17"/>
    <w:rsid w:val="00437FD8"/>
    <w:rsid w:val="0044616F"/>
    <w:rsid w:val="00451AA1"/>
    <w:rsid w:val="00466564"/>
    <w:rsid w:val="00467297"/>
    <w:rsid w:val="00475675"/>
    <w:rsid w:val="00485466"/>
    <w:rsid w:val="0049638B"/>
    <w:rsid w:val="004D7F3D"/>
    <w:rsid w:val="00510D5E"/>
    <w:rsid w:val="00517C5E"/>
    <w:rsid w:val="0053656F"/>
    <w:rsid w:val="00537B9D"/>
    <w:rsid w:val="00556E59"/>
    <w:rsid w:val="005614FD"/>
    <w:rsid w:val="0057463C"/>
    <w:rsid w:val="005870C7"/>
    <w:rsid w:val="00587966"/>
    <w:rsid w:val="00591689"/>
    <w:rsid w:val="0059537A"/>
    <w:rsid w:val="0059742F"/>
    <w:rsid w:val="005E27E5"/>
    <w:rsid w:val="005F05A7"/>
    <w:rsid w:val="005F1868"/>
    <w:rsid w:val="005F342C"/>
    <w:rsid w:val="005F44E7"/>
    <w:rsid w:val="006017BD"/>
    <w:rsid w:val="00603703"/>
    <w:rsid w:val="0060590B"/>
    <w:rsid w:val="00621E2C"/>
    <w:rsid w:val="00627CDF"/>
    <w:rsid w:val="00633406"/>
    <w:rsid w:val="006520BE"/>
    <w:rsid w:val="00652A51"/>
    <w:rsid w:val="006629AC"/>
    <w:rsid w:val="006707C7"/>
    <w:rsid w:val="00676D26"/>
    <w:rsid w:val="00683268"/>
    <w:rsid w:val="00685736"/>
    <w:rsid w:val="006A49C8"/>
    <w:rsid w:val="006B3CB1"/>
    <w:rsid w:val="006C5B62"/>
    <w:rsid w:val="006C6617"/>
    <w:rsid w:val="006D2C86"/>
    <w:rsid w:val="006D5946"/>
    <w:rsid w:val="007007B8"/>
    <w:rsid w:val="00713A47"/>
    <w:rsid w:val="007205E4"/>
    <w:rsid w:val="00722F00"/>
    <w:rsid w:val="00736917"/>
    <w:rsid w:val="0074603F"/>
    <w:rsid w:val="00763987"/>
    <w:rsid w:val="0077238E"/>
    <w:rsid w:val="00772B1E"/>
    <w:rsid w:val="00775B81"/>
    <w:rsid w:val="0078649B"/>
    <w:rsid w:val="007968E0"/>
    <w:rsid w:val="007A07AE"/>
    <w:rsid w:val="007A2FA1"/>
    <w:rsid w:val="007A52C8"/>
    <w:rsid w:val="007B5539"/>
    <w:rsid w:val="007E4F05"/>
    <w:rsid w:val="007E7919"/>
    <w:rsid w:val="007F24FA"/>
    <w:rsid w:val="007F36B4"/>
    <w:rsid w:val="007F38A7"/>
    <w:rsid w:val="0080226F"/>
    <w:rsid w:val="00803B32"/>
    <w:rsid w:val="00805BD5"/>
    <w:rsid w:val="008078D6"/>
    <w:rsid w:val="0081287F"/>
    <w:rsid w:val="00820EB4"/>
    <w:rsid w:val="00821A48"/>
    <w:rsid w:val="0083081D"/>
    <w:rsid w:val="00841BD3"/>
    <w:rsid w:val="00847337"/>
    <w:rsid w:val="00855CDD"/>
    <w:rsid w:val="00862585"/>
    <w:rsid w:val="00874A56"/>
    <w:rsid w:val="00876391"/>
    <w:rsid w:val="008773D7"/>
    <w:rsid w:val="00882DC4"/>
    <w:rsid w:val="008871AC"/>
    <w:rsid w:val="00895467"/>
    <w:rsid w:val="008A2EB4"/>
    <w:rsid w:val="008A5A54"/>
    <w:rsid w:val="008A7FE3"/>
    <w:rsid w:val="008B293B"/>
    <w:rsid w:val="008D744E"/>
    <w:rsid w:val="008E5754"/>
    <w:rsid w:val="008E5ECC"/>
    <w:rsid w:val="008F4012"/>
    <w:rsid w:val="008F4B8D"/>
    <w:rsid w:val="008F59CD"/>
    <w:rsid w:val="00902449"/>
    <w:rsid w:val="00916DBE"/>
    <w:rsid w:val="00924147"/>
    <w:rsid w:val="00935137"/>
    <w:rsid w:val="00941903"/>
    <w:rsid w:val="009441E8"/>
    <w:rsid w:val="00950757"/>
    <w:rsid w:val="0095725A"/>
    <w:rsid w:val="009633E2"/>
    <w:rsid w:val="0096544B"/>
    <w:rsid w:val="009827B8"/>
    <w:rsid w:val="009977B6"/>
    <w:rsid w:val="009A05F1"/>
    <w:rsid w:val="009B0BF6"/>
    <w:rsid w:val="009B4469"/>
    <w:rsid w:val="009C1F54"/>
    <w:rsid w:val="009C268D"/>
    <w:rsid w:val="009C6011"/>
    <w:rsid w:val="009D6458"/>
    <w:rsid w:val="009D6A9D"/>
    <w:rsid w:val="009D7901"/>
    <w:rsid w:val="009E191D"/>
    <w:rsid w:val="009E2E1E"/>
    <w:rsid w:val="009F0E81"/>
    <w:rsid w:val="009F229E"/>
    <w:rsid w:val="009F4E7E"/>
    <w:rsid w:val="009F66DB"/>
    <w:rsid w:val="00A05499"/>
    <w:rsid w:val="00A11E81"/>
    <w:rsid w:val="00A13AA7"/>
    <w:rsid w:val="00A15D56"/>
    <w:rsid w:val="00A2027E"/>
    <w:rsid w:val="00A204A4"/>
    <w:rsid w:val="00A24CF8"/>
    <w:rsid w:val="00A36D08"/>
    <w:rsid w:val="00A40DFD"/>
    <w:rsid w:val="00A47B46"/>
    <w:rsid w:val="00A519DE"/>
    <w:rsid w:val="00A53D9A"/>
    <w:rsid w:val="00A605F1"/>
    <w:rsid w:val="00A60ED6"/>
    <w:rsid w:val="00A71542"/>
    <w:rsid w:val="00A829D8"/>
    <w:rsid w:val="00A90B91"/>
    <w:rsid w:val="00A91C46"/>
    <w:rsid w:val="00A92929"/>
    <w:rsid w:val="00AB0831"/>
    <w:rsid w:val="00AB6E3F"/>
    <w:rsid w:val="00AD7233"/>
    <w:rsid w:val="00AE199F"/>
    <w:rsid w:val="00AE21D4"/>
    <w:rsid w:val="00AE2535"/>
    <w:rsid w:val="00AF2194"/>
    <w:rsid w:val="00AF637F"/>
    <w:rsid w:val="00B06432"/>
    <w:rsid w:val="00B113C7"/>
    <w:rsid w:val="00B15BE9"/>
    <w:rsid w:val="00B16460"/>
    <w:rsid w:val="00B3574C"/>
    <w:rsid w:val="00B3736F"/>
    <w:rsid w:val="00B438FE"/>
    <w:rsid w:val="00B46DFF"/>
    <w:rsid w:val="00B5246B"/>
    <w:rsid w:val="00B54880"/>
    <w:rsid w:val="00B54C6C"/>
    <w:rsid w:val="00B63D4F"/>
    <w:rsid w:val="00B7187E"/>
    <w:rsid w:val="00B77872"/>
    <w:rsid w:val="00B8370B"/>
    <w:rsid w:val="00B837A3"/>
    <w:rsid w:val="00B871B2"/>
    <w:rsid w:val="00B951DC"/>
    <w:rsid w:val="00BA74A2"/>
    <w:rsid w:val="00BB10BC"/>
    <w:rsid w:val="00BB18C7"/>
    <w:rsid w:val="00BB307D"/>
    <w:rsid w:val="00BB3443"/>
    <w:rsid w:val="00BB7E4B"/>
    <w:rsid w:val="00BC7393"/>
    <w:rsid w:val="00BF07E3"/>
    <w:rsid w:val="00C14C84"/>
    <w:rsid w:val="00C15367"/>
    <w:rsid w:val="00C203B8"/>
    <w:rsid w:val="00C2322E"/>
    <w:rsid w:val="00C25623"/>
    <w:rsid w:val="00C35A96"/>
    <w:rsid w:val="00C40990"/>
    <w:rsid w:val="00C43A5B"/>
    <w:rsid w:val="00C523F8"/>
    <w:rsid w:val="00C5344D"/>
    <w:rsid w:val="00C623FB"/>
    <w:rsid w:val="00C662D0"/>
    <w:rsid w:val="00C762CD"/>
    <w:rsid w:val="00C81E74"/>
    <w:rsid w:val="00C9652C"/>
    <w:rsid w:val="00CA1440"/>
    <w:rsid w:val="00CA296B"/>
    <w:rsid w:val="00CA73E7"/>
    <w:rsid w:val="00CB483D"/>
    <w:rsid w:val="00CB58A0"/>
    <w:rsid w:val="00CB6DD0"/>
    <w:rsid w:val="00CC740D"/>
    <w:rsid w:val="00CF37DC"/>
    <w:rsid w:val="00CF4FC3"/>
    <w:rsid w:val="00D109CB"/>
    <w:rsid w:val="00D13D9F"/>
    <w:rsid w:val="00D16D16"/>
    <w:rsid w:val="00D3162C"/>
    <w:rsid w:val="00D34107"/>
    <w:rsid w:val="00D66F49"/>
    <w:rsid w:val="00D71D83"/>
    <w:rsid w:val="00D8631D"/>
    <w:rsid w:val="00D9190C"/>
    <w:rsid w:val="00D96FED"/>
    <w:rsid w:val="00DB1FE5"/>
    <w:rsid w:val="00DB7857"/>
    <w:rsid w:val="00DC2143"/>
    <w:rsid w:val="00DC4E60"/>
    <w:rsid w:val="00DC7897"/>
    <w:rsid w:val="00DE2FF7"/>
    <w:rsid w:val="00DE3E9B"/>
    <w:rsid w:val="00DF04C7"/>
    <w:rsid w:val="00E033F4"/>
    <w:rsid w:val="00E06D56"/>
    <w:rsid w:val="00E251B3"/>
    <w:rsid w:val="00E27AD1"/>
    <w:rsid w:val="00E35CD0"/>
    <w:rsid w:val="00E370BD"/>
    <w:rsid w:val="00E52AE7"/>
    <w:rsid w:val="00E56123"/>
    <w:rsid w:val="00E64E39"/>
    <w:rsid w:val="00E75D01"/>
    <w:rsid w:val="00E8632C"/>
    <w:rsid w:val="00E87EA7"/>
    <w:rsid w:val="00E92600"/>
    <w:rsid w:val="00E94284"/>
    <w:rsid w:val="00EA4E24"/>
    <w:rsid w:val="00EA5222"/>
    <w:rsid w:val="00EB022F"/>
    <w:rsid w:val="00EB278F"/>
    <w:rsid w:val="00EB56EF"/>
    <w:rsid w:val="00EB5D0C"/>
    <w:rsid w:val="00EB6381"/>
    <w:rsid w:val="00EB7730"/>
    <w:rsid w:val="00EC2B20"/>
    <w:rsid w:val="00ED0148"/>
    <w:rsid w:val="00ED30C2"/>
    <w:rsid w:val="00EF48BA"/>
    <w:rsid w:val="00EF629E"/>
    <w:rsid w:val="00F0171F"/>
    <w:rsid w:val="00F03CF6"/>
    <w:rsid w:val="00F03D5D"/>
    <w:rsid w:val="00F11E94"/>
    <w:rsid w:val="00F16124"/>
    <w:rsid w:val="00F1708F"/>
    <w:rsid w:val="00F264CD"/>
    <w:rsid w:val="00F31BCF"/>
    <w:rsid w:val="00F3413E"/>
    <w:rsid w:val="00F34664"/>
    <w:rsid w:val="00F6000F"/>
    <w:rsid w:val="00F77753"/>
    <w:rsid w:val="00F82233"/>
    <w:rsid w:val="00F841F1"/>
    <w:rsid w:val="00F939A9"/>
    <w:rsid w:val="00F9731B"/>
    <w:rsid w:val="00FA1179"/>
    <w:rsid w:val="00FA51DB"/>
    <w:rsid w:val="00FB19A8"/>
    <w:rsid w:val="00FC0E4F"/>
    <w:rsid w:val="00FC633C"/>
    <w:rsid w:val="00FD4F81"/>
    <w:rsid w:val="00FE4B03"/>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6D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86"/>
  </w:style>
  <w:style w:type="paragraph" w:styleId="Ttulo1">
    <w:name w:val="heading 1"/>
    <w:basedOn w:val="Normal"/>
    <w:next w:val="Normal"/>
    <w:link w:val="Ttulo1Car"/>
    <w:uiPriority w:val="9"/>
    <w:qFormat/>
    <w:rsid w:val="0030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1"/>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Ttulo1Car">
    <w:name w:val="Título 1 Car"/>
    <w:basedOn w:val="Fuentedeprrafopredeter"/>
    <w:link w:val="Ttulo1"/>
    <w:uiPriority w:val="9"/>
    <w:rsid w:val="003065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86"/>
  </w:style>
  <w:style w:type="paragraph" w:styleId="Ttulo1">
    <w:name w:val="heading 1"/>
    <w:basedOn w:val="Normal"/>
    <w:next w:val="Normal"/>
    <w:link w:val="Ttulo1Car"/>
    <w:uiPriority w:val="9"/>
    <w:qFormat/>
    <w:rsid w:val="00306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1"/>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Ttulo1Car">
    <w:name w:val="Título 1 Car"/>
    <w:basedOn w:val="Fuentedeprrafopredeter"/>
    <w:link w:val="Ttulo1"/>
    <w:uiPriority w:val="9"/>
    <w:rsid w:val="003065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618">
      <w:bodyDiv w:val="1"/>
      <w:marLeft w:val="0"/>
      <w:marRight w:val="0"/>
      <w:marTop w:val="0"/>
      <w:marBottom w:val="0"/>
      <w:divBdr>
        <w:top w:val="none" w:sz="0" w:space="0" w:color="auto"/>
        <w:left w:val="none" w:sz="0" w:space="0" w:color="auto"/>
        <w:bottom w:val="none" w:sz="0" w:space="0" w:color="auto"/>
        <w:right w:val="none" w:sz="0" w:space="0" w:color="auto"/>
      </w:divBdr>
    </w:div>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508562447">
      <w:bodyDiv w:val="1"/>
      <w:marLeft w:val="0"/>
      <w:marRight w:val="0"/>
      <w:marTop w:val="0"/>
      <w:marBottom w:val="0"/>
      <w:divBdr>
        <w:top w:val="none" w:sz="0" w:space="0" w:color="auto"/>
        <w:left w:val="none" w:sz="0" w:space="0" w:color="auto"/>
        <w:bottom w:val="none" w:sz="0" w:space="0" w:color="auto"/>
        <w:right w:val="none" w:sz="0" w:space="0" w:color="auto"/>
      </w:divBdr>
      <w:divsChild>
        <w:div w:id="35159405">
          <w:marLeft w:val="0"/>
          <w:marRight w:val="0"/>
          <w:marTop w:val="0"/>
          <w:marBottom w:val="0"/>
          <w:divBdr>
            <w:top w:val="none" w:sz="0" w:space="0" w:color="auto"/>
            <w:left w:val="none" w:sz="0" w:space="0" w:color="auto"/>
            <w:bottom w:val="none" w:sz="0" w:space="0" w:color="auto"/>
            <w:right w:val="none" w:sz="0" w:space="0" w:color="auto"/>
          </w:divBdr>
        </w:div>
        <w:div w:id="2043046926">
          <w:marLeft w:val="0"/>
          <w:marRight w:val="0"/>
          <w:marTop w:val="0"/>
          <w:marBottom w:val="0"/>
          <w:divBdr>
            <w:top w:val="none" w:sz="0" w:space="0" w:color="auto"/>
            <w:left w:val="none" w:sz="0" w:space="0" w:color="auto"/>
            <w:bottom w:val="none" w:sz="0" w:space="0" w:color="auto"/>
            <w:right w:val="none" w:sz="0" w:space="0" w:color="auto"/>
          </w:divBdr>
        </w:div>
        <w:div w:id="1851943814">
          <w:marLeft w:val="0"/>
          <w:marRight w:val="0"/>
          <w:marTop w:val="0"/>
          <w:marBottom w:val="0"/>
          <w:divBdr>
            <w:top w:val="none" w:sz="0" w:space="0" w:color="auto"/>
            <w:left w:val="none" w:sz="0" w:space="0" w:color="auto"/>
            <w:bottom w:val="none" w:sz="0" w:space="0" w:color="auto"/>
            <w:right w:val="none" w:sz="0" w:space="0" w:color="auto"/>
          </w:divBdr>
        </w:div>
      </w:divsChild>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20194105">
      <w:bodyDiv w:val="1"/>
      <w:marLeft w:val="0"/>
      <w:marRight w:val="0"/>
      <w:marTop w:val="0"/>
      <w:marBottom w:val="0"/>
      <w:divBdr>
        <w:top w:val="none" w:sz="0" w:space="0" w:color="auto"/>
        <w:left w:val="none" w:sz="0" w:space="0" w:color="auto"/>
        <w:bottom w:val="none" w:sz="0" w:space="0" w:color="auto"/>
        <w:right w:val="none" w:sz="0" w:space="0" w:color="auto"/>
      </w:divBdr>
    </w:div>
    <w:div w:id="82273954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22739989">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499A-73D1-401A-9B54-FF15FFF2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2545</Words>
  <Characters>14002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Sandra Juncal</cp:lastModifiedBy>
  <cp:revision>59</cp:revision>
  <cp:lastPrinted>2018-10-30T11:02:00Z</cp:lastPrinted>
  <dcterms:created xsi:type="dcterms:W3CDTF">2018-10-17T14:52:00Z</dcterms:created>
  <dcterms:modified xsi:type="dcterms:W3CDTF">2018-11-05T16:43:00Z</dcterms:modified>
</cp:coreProperties>
</file>