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BD" w:rsidRDefault="00E370BD"/>
    <w:p w:rsidR="008A5A54" w:rsidRPr="009F66DB" w:rsidRDefault="008A5A54" w:rsidP="009F66DB">
      <w:pPr>
        <w:jc w:val="both"/>
        <w:rPr>
          <w:b/>
        </w:rPr>
      </w:pPr>
      <w:r w:rsidRPr="009F66DB">
        <w:rPr>
          <w:b/>
        </w:rPr>
        <w:t>Licitación Pública Internacional N° 0</w:t>
      </w:r>
      <w:r w:rsidR="00E370BD">
        <w:rPr>
          <w:b/>
        </w:rPr>
        <w:t>7</w:t>
      </w:r>
      <w:r w:rsidRPr="009F66DB">
        <w:rPr>
          <w:b/>
        </w:rPr>
        <w:t>/201</w:t>
      </w:r>
      <w:r w:rsidR="00E370BD">
        <w:rPr>
          <w:b/>
        </w:rPr>
        <w:t>8</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Comunicado N° 1</w:t>
      </w:r>
    </w:p>
    <w:p w:rsidR="008A5A54" w:rsidRPr="009E2E1E" w:rsidRDefault="008A5A54" w:rsidP="009F66DB">
      <w:pPr>
        <w:jc w:val="both"/>
        <w:rPr>
          <w:b/>
        </w:rPr>
      </w:pPr>
      <w:r w:rsidRPr="009E2E1E">
        <w:rPr>
          <w:b/>
        </w:rPr>
        <w:t>Al amparo de lo establecido en la Cláusula 12 del Pliego de Condiciones Administrativas que rige la presente licitación, se realizan las siguientes puntualizaciones:</w:t>
      </w:r>
    </w:p>
    <w:p w:rsidR="00D3162C" w:rsidRDefault="00D3162C" w:rsidP="00D3162C">
      <w:pPr>
        <w:jc w:val="both"/>
        <w:rPr>
          <w:b/>
          <w:caps/>
          <w:sz w:val="28"/>
          <w:szCs w:val="28"/>
          <w:u w:val="single"/>
        </w:rPr>
      </w:pPr>
      <w:r w:rsidRPr="00D3162C">
        <w:rPr>
          <w:b/>
          <w:caps/>
          <w:sz w:val="28"/>
          <w:szCs w:val="28"/>
          <w:u w:val="single"/>
        </w:rPr>
        <w:t xml:space="preserve">Puntualización 1 - PROYECTO </w:t>
      </w:r>
      <w:r>
        <w:rPr>
          <w:b/>
          <w:caps/>
          <w:sz w:val="28"/>
          <w:szCs w:val="28"/>
          <w:u w:val="single"/>
        </w:rPr>
        <w:t xml:space="preserve">de </w:t>
      </w:r>
      <w:r w:rsidRPr="00D3162C">
        <w:rPr>
          <w:b/>
          <w:caps/>
          <w:sz w:val="28"/>
          <w:szCs w:val="28"/>
          <w:u w:val="single"/>
        </w:rPr>
        <w:t>CONTRATO</w:t>
      </w:r>
    </w:p>
    <w:p w:rsidR="0027768E" w:rsidRDefault="0027768E" w:rsidP="0027768E">
      <w:pPr>
        <w:autoSpaceDE w:val="0"/>
        <w:autoSpaceDN w:val="0"/>
        <w:adjustRightInd w:val="0"/>
        <w:spacing w:after="0" w:line="240" w:lineRule="auto"/>
        <w:jc w:val="both"/>
        <w:rPr>
          <w:b/>
        </w:rPr>
      </w:pPr>
      <w:r w:rsidRPr="00F31BCF">
        <w:rPr>
          <w:b/>
        </w:rPr>
        <w:t>En la cláusula</w:t>
      </w:r>
      <w:r>
        <w:rPr>
          <w:b/>
        </w:rPr>
        <w:t xml:space="preserve"> 16.2.1.3 literal d)</w:t>
      </w:r>
      <w:r w:rsidRPr="00F31BCF">
        <w:rPr>
          <w:b/>
        </w:rPr>
        <w:t>.</w:t>
      </w:r>
    </w:p>
    <w:p w:rsidR="0027768E" w:rsidRPr="00F31BCF" w:rsidRDefault="0027768E" w:rsidP="0027768E">
      <w:pPr>
        <w:autoSpaceDE w:val="0"/>
        <w:autoSpaceDN w:val="0"/>
        <w:adjustRightInd w:val="0"/>
        <w:spacing w:after="0" w:line="240" w:lineRule="auto"/>
        <w:jc w:val="both"/>
        <w:rPr>
          <w:b/>
        </w:rPr>
      </w:pPr>
    </w:p>
    <w:p w:rsidR="00E370BD" w:rsidRPr="0027768E" w:rsidRDefault="00E370BD" w:rsidP="0027768E">
      <w:pPr>
        <w:autoSpaceDE w:val="0"/>
        <w:autoSpaceDN w:val="0"/>
        <w:adjustRightInd w:val="0"/>
        <w:spacing w:after="0" w:line="240" w:lineRule="auto"/>
        <w:jc w:val="both"/>
        <w:rPr>
          <w:b/>
        </w:rPr>
      </w:pPr>
      <w:r w:rsidRPr="0027768E">
        <w:rPr>
          <w:b/>
        </w:rPr>
        <w:t xml:space="preserve">Dónde dice: </w:t>
      </w:r>
    </w:p>
    <w:p w:rsidR="00E370BD" w:rsidRPr="0027768E" w:rsidRDefault="00E370BD" w:rsidP="00E370BD">
      <w:pPr>
        <w:ind w:left="567" w:hanging="283"/>
        <w:contextualSpacing/>
        <w:rPr>
          <w:rFonts w:ascii="Calibri" w:hAnsi="Calibri" w:cs="Calibri"/>
          <w:color w:val="000000"/>
          <w:sz w:val="23"/>
          <w:szCs w:val="23"/>
          <w:lang w:val="es-UY"/>
        </w:rPr>
      </w:pPr>
      <w:r w:rsidRPr="0027768E">
        <w:rPr>
          <w:rFonts w:ascii="Calibri" w:hAnsi="Calibri" w:cs="Calibri"/>
          <w:color w:val="000000"/>
          <w:sz w:val="23"/>
          <w:szCs w:val="23"/>
          <w:lang w:val="es-UY"/>
        </w:rPr>
        <w:t>d) Adicionalmente, se abonará el costo de los intereses en que incurre la Contratista hasta el momento de la extinción, que se calculará de la siguiente manera:</w:t>
      </w:r>
    </w:p>
    <w:p w:rsidR="00E370BD" w:rsidRPr="0027768E" w:rsidRDefault="00E370BD" w:rsidP="00E370BD">
      <w:pPr>
        <w:ind w:left="708"/>
        <w:contextualSpacing/>
        <w:rPr>
          <w:rFonts w:ascii="Calibri" w:hAnsi="Calibri" w:cs="Calibri"/>
          <w:color w:val="000000"/>
          <w:sz w:val="23"/>
          <w:szCs w:val="23"/>
          <w:lang w:val="es-UY"/>
        </w:rPr>
      </w:pPr>
    </w:p>
    <w:p w:rsidR="00E370BD" w:rsidRPr="0027768E" w:rsidRDefault="00E370BD" w:rsidP="00E370BD">
      <w:pPr>
        <w:spacing w:after="0" w:line="240" w:lineRule="auto"/>
        <w:ind w:left="709"/>
        <w:contextualSpacing/>
        <w:rPr>
          <w:rFonts w:ascii="Calibri" w:hAnsi="Calibri" w:cs="Calibri"/>
          <w:color w:val="000000"/>
          <w:sz w:val="23"/>
          <w:szCs w:val="23"/>
          <w:lang w:val="es-UY"/>
        </w:rPr>
      </w:pPr>
      <m:oMathPara>
        <m:oMath>
          <m:r>
            <m:rPr>
              <m:sty m:val="p"/>
            </m:rPr>
            <w:rPr>
              <w:rFonts w:ascii="Cambria Math" w:hAnsi="Cambria Math" w:cs="Calibri"/>
              <w:color w:val="000000"/>
              <w:sz w:val="23"/>
              <w:szCs w:val="23"/>
              <w:lang w:val="es-UY"/>
            </w:rPr>
            <m:t>CI=dj*(1-tx)</m:t>
          </m:r>
          <m:d>
            <m:dPr>
              <m:begChr m:val="["/>
              <m:endChr m:val="]"/>
              <m:ctrlPr>
                <w:rPr>
                  <w:rFonts w:ascii="Cambria Math" w:hAnsi="Cambria Math" w:cs="Calibri"/>
                  <w:color w:val="000000"/>
                  <w:sz w:val="23"/>
                  <w:szCs w:val="23"/>
                  <w:lang w:val="es-UY"/>
                </w:rPr>
              </m:ctrlPr>
            </m:dPr>
            <m:e>
              <m:r>
                <m:rPr>
                  <m:sty m:val="p"/>
                </m:rPr>
                <w:rPr>
                  <w:rFonts w:ascii="Cambria Math" w:hAnsi="Cambria Math" w:cs="Calibri"/>
                  <w:color w:val="000000"/>
                  <w:sz w:val="23"/>
                  <w:szCs w:val="23"/>
                  <w:lang w:val="es-UY"/>
                </w:rPr>
                <m:t xml:space="preserve"> </m:t>
              </m:r>
              <m:nary>
                <m:naryPr>
                  <m:chr m:val="∑"/>
                  <m:limLoc m:val="undOvr"/>
                  <m:ctrlPr>
                    <w:rPr>
                      <w:rFonts w:ascii="Cambria Math" w:hAnsi="Cambria Math" w:cs="Calibri"/>
                      <w:color w:val="000000"/>
                      <w:sz w:val="23"/>
                      <w:szCs w:val="23"/>
                      <w:lang w:val="es-UY"/>
                    </w:rPr>
                  </m:ctrlPr>
                </m:naryPr>
                <m:sub>
                  <m:r>
                    <m:rPr>
                      <m:sty m:val="p"/>
                    </m:rPr>
                    <w:rPr>
                      <w:rFonts w:ascii="Cambria Math" w:hAnsi="Cambria Math" w:cs="Calibri"/>
                      <w:color w:val="000000"/>
                      <w:sz w:val="23"/>
                      <w:szCs w:val="23"/>
                      <w:lang w:val="es-UY"/>
                    </w:rPr>
                    <m:t>i = 1</m:t>
                  </m:r>
                </m:sub>
                <m:sup>
                  <m:r>
                    <m:rPr>
                      <m:sty m:val="p"/>
                    </m:rPr>
                    <w:rPr>
                      <w:rFonts w:ascii="Cambria Math" w:hAnsi="Cambria Math" w:cs="Calibri"/>
                      <w:color w:val="000000"/>
                      <w:sz w:val="23"/>
                      <w:szCs w:val="23"/>
                      <w:lang w:val="es-UY"/>
                    </w:rPr>
                    <m:t>s-1</m:t>
                  </m:r>
                </m:sup>
                <m:e>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I</m:t>
                      </m:r>
                    </m:e>
                    <m:sub>
                      <m:r>
                        <m:rPr>
                          <m:sty m:val="p"/>
                        </m:rPr>
                        <w:rPr>
                          <w:rFonts w:ascii="Cambria Math" w:hAnsi="Cambria Math" w:cs="Calibri"/>
                          <w:color w:val="000000"/>
                          <w:sz w:val="23"/>
                          <w:szCs w:val="23"/>
                          <w:lang w:val="es-UY"/>
                        </w:rPr>
                        <m:t>i</m:t>
                      </m:r>
                    </m:sub>
                  </m:sSub>
                  <m:r>
                    <m:rPr>
                      <m:sty m:val="p"/>
                    </m:rPr>
                    <w:rPr>
                      <w:rFonts w:ascii="Cambria Math" w:hAnsi="Cambria Math" w:cs="Calibri"/>
                      <w:color w:val="000000"/>
                      <w:sz w:val="23"/>
                      <w:szCs w:val="23"/>
                      <w:lang w:val="es-UY"/>
                    </w:rPr>
                    <m:t>*</m:t>
                  </m:r>
                  <m:nary>
                    <m:naryPr>
                      <m:chr m:val="∏"/>
                      <m:limLoc m:val="undOvr"/>
                      <m:ctrlPr>
                        <w:rPr>
                          <w:rFonts w:ascii="Cambria Math" w:hAnsi="Cambria Math" w:cs="Calibri"/>
                          <w:color w:val="000000"/>
                          <w:sz w:val="23"/>
                          <w:szCs w:val="23"/>
                          <w:lang w:val="es-UY"/>
                        </w:rPr>
                      </m:ctrlPr>
                    </m:naryPr>
                    <m:sub>
                      <m:r>
                        <m:rPr>
                          <m:sty m:val="p"/>
                        </m:rPr>
                        <w:rPr>
                          <w:rFonts w:ascii="Cambria Math" w:hAnsi="Cambria Math" w:cs="Calibri"/>
                          <w:color w:val="000000"/>
                          <w:sz w:val="23"/>
                          <w:szCs w:val="23"/>
                          <w:lang w:val="es-UY"/>
                        </w:rPr>
                        <m:t>j = i</m:t>
                      </m:r>
                    </m:sub>
                    <m:sup>
                      <m:r>
                        <m:rPr>
                          <m:sty m:val="p"/>
                        </m:rPr>
                        <w:rPr>
                          <w:rFonts w:ascii="Cambria Math" w:hAnsi="Cambria Math" w:cs="Calibri"/>
                          <w:color w:val="000000"/>
                          <w:sz w:val="23"/>
                          <w:szCs w:val="23"/>
                          <w:lang w:val="es-UY"/>
                        </w:rPr>
                        <m:t>s-1</m:t>
                      </m:r>
                    </m:sup>
                    <m:e>
                      <m:r>
                        <m:rPr>
                          <m:sty m:val="p"/>
                        </m:rPr>
                        <w:rPr>
                          <w:rFonts w:ascii="Cambria Math" w:hAnsi="Cambria Math" w:cs="Calibri"/>
                          <w:color w:val="000000"/>
                          <w:sz w:val="23"/>
                          <w:szCs w:val="23"/>
                          <w:lang w:val="es-UY"/>
                        </w:rPr>
                        <m:t>(1+</m:t>
                      </m:r>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r</m:t>
                          </m:r>
                        </m:e>
                        <m:sub>
                          <m:r>
                            <m:rPr>
                              <m:sty m:val="p"/>
                            </m:rPr>
                            <w:rPr>
                              <w:rFonts w:ascii="Cambria Math" w:hAnsi="Cambria Math" w:cs="Calibri"/>
                              <w:color w:val="000000"/>
                              <w:sz w:val="23"/>
                              <w:szCs w:val="23"/>
                              <w:lang w:val="es-UY"/>
                            </w:rPr>
                            <m:t>d</m:t>
                          </m:r>
                        </m:sub>
                      </m:sSub>
                      <m:r>
                        <m:rPr>
                          <m:sty m:val="p"/>
                        </m:rPr>
                        <w:rPr>
                          <w:rFonts w:ascii="Cambria Math" w:hAnsi="Cambria Math" w:cs="Calibri"/>
                          <w:color w:val="000000"/>
                          <w:sz w:val="23"/>
                          <w:szCs w:val="23"/>
                          <w:lang w:val="es-UY"/>
                        </w:rPr>
                        <m:t>)</m:t>
                      </m:r>
                    </m:e>
                  </m:nary>
                </m:e>
              </m:nary>
            </m:e>
          </m:d>
          <m:r>
            <m:rPr>
              <m:sty m:val="p"/>
            </m:rPr>
            <w:rPr>
              <w:rFonts w:ascii="Cambria Math" w:hAnsi="Cambria Math" w:cs="Calibri"/>
              <w:color w:val="000000"/>
              <w:sz w:val="23"/>
              <w:szCs w:val="23"/>
              <w:lang w:val="es-UY"/>
            </w:rPr>
            <m:t>-</m:t>
          </m:r>
          <m:nary>
            <m:naryPr>
              <m:chr m:val="∑"/>
              <m:limLoc m:val="undOvr"/>
              <m:ctrlPr>
                <w:rPr>
                  <w:rFonts w:ascii="Cambria Math" w:hAnsi="Cambria Math" w:cs="Calibri"/>
                  <w:color w:val="000000"/>
                  <w:sz w:val="23"/>
                  <w:szCs w:val="23"/>
                  <w:lang w:val="es-UY"/>
                </w:rPr>
              </m:ctrlPr>
            </m:naryPr>
            <m:sub>
              <m:r>
                <m:rPr>
                  <m:sty m:val="p"/>
                </m:rPr>
                <w:rPr>
                  <w:rFonts w:ascii="Cambria Math" w:hAnsi="Cambria Math" w:cs="Calibri"/>
                  <w:color w:val="000000"/>
                  <w:sz w:val="23"/>
                  <w:szCs w:val="23"/>
                  <w:lang w:val="es-UY"/>
                </w:rPr>
                <m:t>i=1</m:t>
              </m:r>
            </m:sub>
            <m:sup>
              <m:r>
                <m:rPr>
                  <m:sty m:val="p"/>
                </m:rPr>
                <w:rPr>
                  <w:rFonts w:ascii="Cambria Math" w:hAnsi="Cambria Math" w:cs="Calibri"/>
                  <w:color w:val="000000"/>
                  <w:sz w:val="23"/>
                  <w:szCs w:val="23"/>
                  <w:lang w:val="es-UY"/>
                </w:rPr>
                <m:t>s-1</m:t>
              </m:r>
            </m:sup>
            <m:e>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I</m:t>
                  </m:r>
                </m:e>
                <m:sub>
                  <m:r>
                    <m:rPr>
                      <m:sty m:val="p"/>
                    </m:rPr>
                    <w:rPr>
                      <w:rFonts w:ascii="Cambria Math" w:hAnsi="Cambria Math" w:cs="Calibri"/>
                      <w:color w:val="000000"/>
                      <w:sz w:val="23"/>
                      <w:szCs w:val="23"/>
                      <w:lang w:val="es-UY"/>
                    </w:rPr>
                    <m:t>i</m:t>
                  </m:r>
                </m:sub>
              </m:sSub>
            </m:e>
          </m:nary>
        </m:oMath>
      </m:oMathPara>
    </w:p>
    <w:p w:rsidR="00E370BD" w:rsidRPr="0027768E" w:rsidRDefault="00E370BD" w:rsidP="00E370BD">
      <w:pPr>
        <w:spacing w:after="0" w:line="240" w:lineRule="auto"/>
        <w:ind w:firstLine="708"/>
        <w:rPr>
          <w:rFonts w:ascii="Calibri" w:hAnsi="Calibri" w:cs="Calibri"/>
          <w:color w:val="000000"/>
          <w:sz w:val="23"/>
          <w:szCs w:val="23"/>
          <w:lang w:val="es-UY"/>
        </w:rPr>
      </w:pPr>
      <w:r w:rsidRPr="0027768E">
        <w:rPr>
          <w:rFonts w:ascii="Calibri" w:hAnsi="Calibri" w:cs="Calibri"/>
          <w:color w:val="000000"/>
          <w:sz w:val="23"/>
          <w:szCs w:val="23"/>
          <w:lang w:val="es-UY"/>
        </w:rPr>
        <w:t>Donde:</w:t>
      </w:r>
    </w:p>
    <w:p w:rsidR="00E370BD" w:rsidRPr="0027768E" w:rsidRDefault="00E370BD" w:rsidP="00E370BD">
      <w:pPr>
        <w:spacing w:after="0" w:line="240" w:lineRule="auto"/>
        <w:ind w:left="1843"/>
        <w:rPr>
          <w:rFonts w:ascii="Calibri" w:hAnsi="Calibri" w:cs="Calibri"/>
          <w:color w:val="000000"/>
          <w:sz w:val="23"/>
          <w:szCs w:val="23"/>
          <w:lang w:val="es-UY"/>
        </w:rPr>
      </w:pPr>
    </w:p>
    <w:p w:rsidR="00E370BD" w:rsidRPr="0027768E" w:rsidRDefault="00E370BD" w:rsidP="00E370BD">
      <w:pPr>
        <w:spacing w:after="0" w:line="240" w:lineRule="auto"/>
        <w:ind w:left="709"/>
        <w:rPr>
          <w:rFonts w:ascii="Calibri" w:hAnsi="Calibri" w:cs="Calibri"/>
          <w:color w:val="000000"/>
          <w:sz w:val="23"/>
          <w:szCs w:val="23"/>
          <w:lang w:val="es-UY"/>
        </w:rPr>
      </w:pPr>
      <m:oMath>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I</m:t>
            </m:r>
          </m:e>
          <m:sub>
            <m:r>
              <m:rPr>
                <m:sty m:val="p"/>
              </m:rPr>
              <w:rPr>
                <w:rFonts w:ascii="Cambria Math" w:hAnsi="Cambria Math" w:cs="Calibri"/>
                <w:color w:val="000000"/>
                <w:sz w:val="23"/>
                <w:szCs w:val="23"/>
                <w:lang w:val="es-UY"/>
              </w:rPr>
              <m:t>i</m:t>
            </m:r>
          </m:sub>
        </m:sSub>
      </m:oMath>
      <w:r w:rsidRPr="0027768E">
        <w:rPr>
          <w:rFonts w:ascii="Calibri" w:hAnsi="Calibri" w:cs="Calibri"/>
          <w:color w:val="000000"/>
          <w:sz w:val="23"/>
          <w:szCs w:val="23"/>
          <w:lang w:val="es-UY"/>
        </w:rPr>
        <w:t xml:space="preserve"> : es a la inversión realizada en el mes “i”, documentada por la Supervisión del Contrato en la manera indicada antes en esta misma cláusula.</w:t>
      </w:r>
    </w:p>
    <w:p w:rsidR="00E370BD" w:rsidRPr="0027768E" w:rsidRDefault="00E370BD" w:rsidP="00E370BD">
      <w:pPr>
        <w:spacing w:after="0" w:line="240" w:lineRule="auto"/>
        <w:ind w:left="709"/>
        <w:rPr>
          <w:rFonts w:ascii="Calibri" w:hAnsi="Calibri" w:cs="Calibri"/>
          <w:color w:val="000000"/>
          <w:sz w:val="23"/>
          <w:szCs w:val="23"/>
          <w:lang w:val="es-UY"/>
        </w:rPr>
      </w:pPr>
    </w:p>
    <w:p w:rsidR="00E370BD" w:rsidRPr="0027768E" w:rsidRDefault="00E370BD" w:rsidP="00E370BD">
      <w:pPr>
        <w:spacing w:after="0" w:line="240" w:lineRule="auto"/>
        <w:ind w:left="709"/>
        <w:rPr>
          <w:rFonts w:ascii="Calibri" w:hAnsi="Calibri" w:cs="Calibri"/>
          <w:color w:val="000000"/>
          <w:sz w:val="23"/>
          <w:szCs w:val="23"/>
          <w:lang w:val="es-UY"/>
        </w:rPr>
      </w:pPr>
      <w:proofErr w:type="gramStart"/>
      <w:r w:rsidRPr="0027768E">
        <w:rPr>
          <w:rFonts w:ascii="Calibri" w:hAnsi="Calibri" w:cs="Calibri"/>
          <w:b/>
          <w:color w:val="000000"/>
          <w:sz w:val="23"/>
          <w:szCs w:val="23"/>
          <w:lang w:val="es-UY"/>
        </w:rPr>
        <w:t>s</w:t>
      </w:r>
      <w:proofErr w:type="gramEnd"/>
      <w:r w:rsidRPr="0027768E">
        <w:rPr>
          <w:rFonts w:ascii="Calibri" w:hAnsi="Calibri" w:cs="Calibri"/>
          <w:b/>
          <w:color w:val="000000"/>
          <w:sz w:val="23"/>
          <w:szCs w:val="23"/>
          <w:lang w:val="es-UY"/>
        </w:rPr>
        <w:t xml:space="preserve"> </w:t>
      </w:r>
      <w:r w:rsidRPr="0027768E">
        <w:rPr>
          <w:rFonts w:ascii="Calibri" w:hAnsi="Calibri" w:cs="Calibri"/>
          <w:color w:val="000000"/>
          <w:sz w:val="23"/>
          <w:szCs w:val="23"/>
          <w:lang w:val="es-UY"/>
        </w:rPr>
        <w:t>: es el mes en que se produce la extinción del contrato, contado desde la firma del contrato.</w:t>
      </w:r>
    </w:p>
    <w:p w:rsidR="00E370BD" w:rsidRPr="0027768E" w:rsidRDefault="00E370BD" w:rsidP="00E370BD">
      <w:pPr>
        <w:spacing w:after="0" w:line="240" w:lineRule="auto"/>
        <w:ind w:left="709"/>
        <w:rPr>
          <w:rFonts w:ascii="Calibri" w:hAnsi="Calibri" w:cs="Calibri"/>
          <w:color w:val="000000"/>
          <w:sz w:val="23"/>
          <w:szCs w:val="23"/>
          <w:lang w:val="es-UY"/>
        </w:rPr>
      </w:pPr>
    </w:p>
    <w:p w:rsidR="00E370BD" w:rsidRPr="0027768E" w:rsidRDefault="00E370BD" w:rsidP="00E370BD">
      <w:pPr>
        <w:spacing w:after="0" w:line="240" w:lineRule="auto"/>
        <w:ind w:left="709"/>
        <w:rPr>
          <w:rFonts w:ascii="Calibri" w:hAnsi="Calibri" w:cs="Calibri"/>
          <w:color w:val="000000"/>
          <w:sz w:val="23"/>
          <w:szCs w:val="23"/>
          <w:lang w:val="es-UY"/>
        </w:rPr>
      </w:pPr>
      <w:proofErr w:type="gramStart"/>
      <w:r w:rsidRPr="0027768E">
        <w:rPr>
          <w:rFonts w:ascii="Calibri" w:hAnsi="Calibri" w:cs="Calibri"/>
          <w:b/>
          <w:color w:val="000000"/>
          <w:sz w:val="23"/>
          <w:szCs w:val="23"/>
          <w:lang w:val="es-UY"/>
        </w:rPr>
        <w:t>dj</w:t>
      </w:r>
      <w:proofErr w:type="gramEnd"/>
      <w:r w:rsidRPr="0027768E">
        <w:rPr>
          <w:rFonts w:ascii="Calibri" w:hAnsi="Calibri" w:cs="Calibri"/>
          <w:color w:val="000000"/>
          <w:sz w:val="23"/>
          <w:szCs w:val="23"/>
          <w:lang w:val="es-UY"/>
        </w:rPr>
        <w:t xml:space="preserve">  :</w:t>
      </w:r>
      <w:r w:rsidRPr="0027768E">
        <w:rPr>
          <w:rFonts w:ascii="Calibri" w:hAnsi="Calibri" w:cs="Calibri"/>
          <w:color w:val="000000"/>
          <w:sz w:val="23"/>
          <w:szCs w:val="23"/>
          <w:lang w:val="es-UY"/>
        </w:rPr>
        <w:tab/>
        <w:t xml:space="preserve">Es el porcentaje de la inversión del mes “j” que proviene de deuda de la Sociedad Contratista, obtenido del Plan Económico Financiero presentado en la oferta.  </w:t>
      </w:r>
    </w:p>
    <w:p w:rsidR="00E370BD" w:rsidRPr="00431FE1" w:rsidRDefault="00E370BD" w:rsidP="00E370BD">
      <w:pPr>
        <w:spacing w:after="0" w:line="240" w:lineRule="auto"/>
        <w:ind w:left="709"/>
        <w:rPr>
          <w:rFonts w:eastAsia="Times New Roman"/>
          <w:lang w:val="es-CL" w:eastAsia="es-CL"/>
        </w:rPr>
      </w:pPr>
    </w:p>
    <w:p w:rsidR="00E370BD" w:rsidRPr="0027768E" w:rsidRDefault="00E370BD" w:rsidP="00E370BD">
      <w:pPr>
        <w:ind w:left="708"/>
        <w:contextualSpacing/>
        <w:rPr>
          <w:rFonts w:ascii="Calibri" w:hAnsi="Calibri" w:cs="Calibri"/>
          <w:color w:val="000000"/>
          <w:sz w:val="23"/>
          <w:szCs w:val="23"/>
          <w:lang w:val="es-UY"/>
        </w:rPr>
      </w:pPr>
      <m:oMath>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r</m:t>
            </m:r>
          </m:e>
          <m:sub>
            <m:r>
              <m:rPr>
                <m:sty m:val="p"/>
              </m:rPr>
              <w:rPr>
                <w:rFonts w:ascii="Cambria Math" w:hAnsi="Cambria Math" w:cs="Calibri"/>
                <w:color w:val="000000"/>
                <w:sz w:val="23"/>
                <w:szCs w:val="23"/>
                <w:lang w:val="es-UY"/>
              </w:rPr>
              <m:t>d</m:t>
            </m:r>
          </m:sub>
        </m:sSub>
      </m:oMath>
      <w:r w:rsidRPr="0027768E">
        <w:rPr>
          <w:rFonts w:ascii="Calibri" w:hAnsi="Calibri" w:cs="Calibri"/>
          <w:color w:val="000000"/>
          <w:sz w:val="23"/>
          <w:szCs w:val="23"/>
          <w:lang w:val="es-UY"/>
        </w:rPr>
        <w:t xml:space="preserve"> : Corresponde a la tasa de interés mensual, que cumple con la condición de que ((1+rd</w:t>
      </w:r>
      <w:proofErr w:type="gramStart"/>
      <w:r w:rsidRPr="0027768E">
        <w:rPr>
          <w:rFonts w:ascii="Calibri" w:hAnsi="Calibri" w:cs="Calibri"/>
          <w:color w:val="000000"/>
          <w:sz w:val="23"/>
          <w:szCs w:val="23"/>
          <w:lang w:val="es-UY"/>
        </w:rPr>
        <w:t>)12</w:t>
      </w:r>
      <w:proofErr w:type="gramEnd"/>
      <w:r w:rsidRPr="0027768E">
        <w:rPr>
          <w:rFonts w:ascii="Calibri" w:hAnsi="Calibri" w:cs="Calibri"/>
          <w:color w:val="000000"/>
          <w:sz w:val="23"/>
          <w:szCs w:val="23"/>
          <w:lang w:val="es-UY"/>
        </w:rPr>
        <w:t>) – 1, sea igual a la tasa de interés anual en unidades indexadas de la deuda contraída por la Sociedad Contratista para la ejecución de la obra objeto del presente contrato. Corresponde únicamente a la tasa de interés y no incluye comisiones de ningún tipo. En caso que la Sociedad Contratista hubiera contado con más de un tipo de financiamiento, corresponde al promedio de las tasas ponderadas por el monto de cada tipo de deuda.</w:t>
      </w:r>
    </w:p>
    <w:p w:rsidR="00E370BD" w:rsidRPr="0027768E" w:rsidRDefault="00E370BD" w:rsidP="00E370BD">
      <w:pPr>
        <w:spacing w:after="0" w:line="240" w:lineRule="auto"/>
        <w:ind w:left="2127" w:hanging="851"/>
        <w:rPr>
          <w:rFonts w:ascii="Calibri" w:hAnsi="Calibri" w:cs="Calibri"/>
          <w:color w:val="000000"/>
          <w:sz w:val="23"/>
          <w:szCs w:val="23"/>
          <w:lang w:val="es-UY"/>
        </w:rPr>
      </w:pPr>
    </w:p>
    <w:p w:rsidR="00E370BD" w:rsidRPr="0027768E" w:rsidRDefault="0027768E" w:rsidP="00E370BD">
      <w:pPr>
        <w:rPr>
          <w:rFonts w:ascii="Calibri" w:hAnsi="Calibri" w:cs="Calibri"/>
          <w:color w:val="000000"/>
          <w:sz w:val="23"/>
          <w:szCs w:val="23"/>
          <w:lang w:val="es-UY"/>
        </w:rPr>
      </w:pPr>
      <w:r>
        <w:rPr>
          <w:rFonts w:ascii="Calibri" w:hAnsi="Calibri" w:cs="Calibri"/>
          <w:color w:val="000000"/>
          <w:sz w:val="23"/>
          <w:szCs w:val="23"/>
          <w:lang w:val="es-UY"/>
        </w:rPr>
        <w:tab/>
      </w:r>
      <w:proofErr w:type="spellStart"/>
      <w:proofErr w:type="gramStart"/>
      <w:r w:rsidR="00E370BD" w:rsidRPr="0027768E">
        <w:rPr>
          <w:rFonts w:ascii="Calibri" w:hAnsi="Calibri" w:cs="Calibri"/>
          <w:b/>
          <w:color w:val="000000"/>
          <w:sz w:val="23"/>
          <w:szCs w:val="23"/>
          <w:lang w:val="es-UY"/>
        </w:rPr>
        <w:t>tx</w:t>
      </w:r>
      <w:proofErr w:type="spellEnd"/>
      <w:proofErr w:type="gramEnd"/>
      <w:r w:rsidR="00E370BD" w:rsidRPr="0027768E">
        <w:rPr>
          <w:rFonts w:ascii="Calibri" w:hAnsi="Calibri" w:cs="Calibri"/>
          <w:b/>
          <w:color w:val="000000"/>
          <w:sz w:val="23"/>
          <w:szCs w:val="23"/>
          <w:lang w:val="es-UY"/>
        </w:rPr>
        <w:t xml:space="preserve"> </w:t>
      </w:r>
      <w:r w:rsidR="00E370BD" w:rsidRPr="0027768E">
        <w:rPr>
          <w:rFonts w:ascii="Calibri" w:hAnsi="Calibri" w:cs="Calibri"/>
          <w:color w:val="000000"/>
          <w:sz w:val="23"/>
          <w:szCs w:val="23"/>
          <w:lang w:val="es-UY"/>
        </w:rPr>
        <w:t xml:space="preserve">  :</w:t>
      </w:r>
      <w:r w:rsidR="00E370BD" w:rsidRPr="0027768E">
        <w:rPr>
          <w:rFonts w:ascii="Calibri" w:hAnsi="Calibri" w:cs="Calibri"/>
          <w:color w:val="000000"/>
          <w:sz w:val="23"/>
          <w:szCs w:val="23"/>
          <w:lang w:val="es-UY"/>
        </w:rPr>
        <w:tab/>
        <w:t xml:space="preserve"> Es la tasa de impuesto a la renta que aplique a la Sociedad Contratista de este proyecto.</w:t>
      </w:r>
    </w:p>
    <w:p w:rsidR="0027768E" w:rsidRDefault="0027768E" w:rsidP="0027768E">
      <w:pPr>
        <w:autoSpaceDE w:val="0"/>
        <w:autoSpaceDN w:val="0"/>
        <w:adjustRightInd w:val="0"/>
        <w:spacing w:after="0" w:line="240" w:lineRule="auto"/>
        <w:jc w:val="both"/>
        <w:rPr>
          <w:b/>
        </w:rPr>
      </w:pPr>
    </w:p>
    <w:p w:rsidR="00E370BD" w:rsidRPr="0027768E" w:rsidRDefault="00E370BD" w:rsidP="0027768E">
      <w:pPr>
        <w:autoSpaceDE w:val="0"/>
        <w:autoSpaceDN w:val="0"/>
        <w:adjustRightInd w:val="0"/>
        <w:spacing w:after="0" w:line="240" w:lineRule="auto"/>
        <w:jc w:val="both"/>
        <w:rPr>
          <w:b/>
        </w:rPr>
      </w:pPr>
      <w:r w:rsidRPr="0027768E">
        <w:rPr>
          <w:b/>
        </w:rPr>
        <w:t xml:space="preserve">Debe decir: </w:t>
      </w:r>
    </w:p>
    <w:p w:rsidR="00E370BD" w:rsidRPr="0027768E" w:rsidRDefault="00E370BD" w:rsidP="00E370BD">
      <w:pPr>
        <w:ind w:left="567" w:hanging="283"/>
        <w:contextualSpacing/>
        <w:rPr>
          <w:rFonts w:ascii="Calibri" w:hAnsi="Calibri" w:cs="Calibri"/>
          <w:color w:val="000000"/>
          <w:sz w:val="23"/>
          <w:szCs w:val="23"/>
          <w:lang w:val="es-UY"/>
        </w:rPr>
      </w:pPr>
      <w:r w:rsidRPr="0027768E">
        <w:rPr>
          <w:rFonts w:ascii="Calibri" w:hAnsi="Calibri" w:cs="Calibri"/>
          <w:color w:val="000000"/>
          <w:sz w:val="23"/>
          <w:szCs w:val="23"/>
          <w:lang w:val="es-UY"/>
        </w:rPr>
        <w:t>d) Adicionalmente, se abonará el costo de los intereses en que incurre la Contratista hasta el momento de la extinción, que se calculará de la siguiente manera:</w:t>
      </w:r>
    </w:p>
    <w:p w:rsidR="00E370BD" w:rsidRPr="00431FE1" w:rsidRDefault="00E370BD" w:rsidP="00E370BD">
      <w:pPr>
        <w:ind w:left="708"/>
        <w:contextualSpacing/>
      </w:pPr>
    </w:p>
    <w:p w:rsidR="00E370BD" w:rsidRPr="00431FE1" w:rsidRDefault="00E370BD" w:rsidP="00E370BD">
      <w:pPr>
        <w:spacing w:after="0" w:line="240" w:lineRule="auto"/>
        <w:ind w:left="709"/>
        <w:contextualSpacing/>
        <w:jc w:val="center"/>
        <w:rPr>
          <w:rFonts w:ascii="Arial" w:eastAsia="Times New Roman" w:hAnsi="Arial"/>
          <w:lang w:val="es-CL" w:eastAsia="es-CL"/>
        </w:rPr>
      </w:pPr>
      <m:oMathPara>
        <m:oMath>
          <m:r>
            <w:rPr>
              <w:rFonts w:ascii="Cambria Math" w:eastAsia="Times New Roman" w:hAnsi="Cambria Math"/>
              <w:lang w:val="es-CL" w:eastAsia="es-CL"/>
            </w:rPr>
            <m:t>CI=</m:t>
          </m:r>
          <m:d>
            <m:dPr>
              <m:begChr m:val="["/>
              <m:endChr m:val="]"/>
              <m:ctrlPr>
                <w:rPr>
                  <w:rFonts w:ascii="Cambria Math" w:eastAsia="Times New Roman" w:hAnsi="Cambria Math"/>
                  <w:i/>
                  <w:lang w:val="es-CL" w:eastAsia="es-CL"/>
                </w:rPr>
              </m:ctrlPr>
            </m:dPr>
            <m:e>
              <m:r>
                <w:rPr>
                  <w:rFonts w:ascii="Cambria Math" w:eastAsia="Times New Roman" w:hAnsi="Cambria Math"/>
                  <w:lang w:val="es-CL" w:eastAsia="es-CL"/>
                </w:rPr>
                <m:t xml:space="preserve"> </m:t>
              </m:r>
              <m:nary>
                <m:naryPr>
                  <m:chr m:val="∑"/>
                  <m:limLoc m:val="undOvr"/>
                  <m:ctrlPr>
                    <w:rPr>
                      <w:rFonts w:ascii="Cambria Math" w:eastAsia="Times New Roman" w:hAnsi="Cambria Math"/>
                      <w:i/>
                      <w:lang w:val="es-CL" w:eastAsia="es-CL"/>
                    </w:rPr>
                  </m:ctrlPr>
                </m:naryPr>
                <m:sub>
                  <m:r>
                    <w:rPr>
                      <w:rFonts w:ascii="Cambria Math" w:eastAsia="Times New Roman" w:hAnsi="Cambria Math"/>
                      <w:lang w:val="es-CL" w:eastAsia="es-CL"/>
                    </w:rPr>
                    <m:t>i = 1</m:t>
                  </m:r>
                </m:sub>
                <m:sup>
                  <m:r>
                    <w:rPr>
                      <w:rFonts w:ascii="Cambria Math" w:eastAsia="Times New Roman" w:hAnsi="Cambria Math"/>
                      <w:lang w:val="es-CL" w:eastAsia="es-CL"/>
                    </w:rPr>
                    <m:t>s-1</m:t>
                  </m:r>
                </m:sup>
                <m:e>
                  <m:sSub>
                    <m:sSubPr>
                      <m:ctrlPr>
                        <w:rPr>
                          <w:rFonts w:ascii="Cambria Math" w:eastAsia="Times New Roman" w:hAnsi="Cambria Math"/>
                          <w:i/>
                          <w:lang w:val="es-CL" w:eastAsia="es-CL"/>
                        </w:rPr>
                      </m:ctrlPr>
                    </m:sSubPr>
                    <m:e>
                      <m:r>
                        <w:rPr>
                          <w:rFonts w:ascii="Cambria Math" w:eastAsia="Times New Roman" w:hAnsi="Cambria Math"/>
                          <w:lang w:val="es-CL" w:eastAsia="es-CL"/>
                        </w:rPr>
                        <m:t>I</m:t>
                      </m:r>
                    </m:e>
                    <m:sub>
                      <m:r>
                        <w:rPr>
                          <w:rFonts w:ascii="Cambria Math" w:eastAsia="Times New Roman" w:hAnsi="Cambria Math"/>
                          <w:lang w:val="es-CL" w:eastAsia="es-CL"/>
                        </w:rPr>
                        <m:t>i</m:t>
                      </m:r>
                    </m:sub>
                  </m:sSub>
                  <m:r>
                    <w:rPr>
                      <w:rFonts w:ascii="Cambria Math" w:eastAsia="Times New Roman" w:hAnsi="Cambria Math"/>
                      <w:lang w:val="es-CL" w:eastAsia="es-CL"/>
                    </w:rPr>
                    <m:t>*</m:t>
                  </m:r>
                  <m:nary>
                    <m:naryPr>
                      <m:chr m:val="∏"/>
                      <m:limLoc m:val="undOvr"/>
                      <m:ctrlPr>
                        <w:rPr>
                          <w:rFonts w:ascii="Cambria Math" w:eastAsia="Times New Roman" w:hAnsi="Cambria Math"/>
                          <w:i/>
                          <w:lang w:val="es-CL" w:eastAsia="es-CL"/>
                        </w:rPr>
                      </m:ctrlPr>
                    </m:naryPr>
                    <m:sub>
                      <m:r>
                        <w:rPr>
                          <w:rFonts w:ascii="Cambria Math" w:eastAsia="Times New Roman" w:hAnsi="Cambria Math"/>
                          <w:lang w:val="es-CL" w:eastAsia="es-CL"/>
                        </w:rPr>
                        <m:t>j = i</m:t>
                      </m:r>
                    </m:sub>
                    <m:sup>
                      <m:r>
                        <w:rPr>
                          <w:rFonts w:ascii="Cambria Math" w:eastAsia="Times New Roman" w:hAnsi="Cambria Math"/>
                          <w:lang w:val="es-CL" w:eastAsia="es-CL"/>
                        </w:rPr>
                        <m:t>s-1</m:t>
                      </m:r>
                    </m:sup>
                    <m:e>
                      <m:r>
                        <w:rPr>
                          <w:rFonts w:ascii="Cambria Math" w:eastAsia="Times New Roman" w:hAnsi="Cambria Math"/>
                          <w:lang w:val="es-CL" w:eastAsia="es-CL"/>
                        </w:rPr>
                        <m:t>(1+</m:t>
                      </m:r>
                      <m:sSub>
                        <m:sSubPr>
                          <m:ctrlPr>
                            <w:rPr>
                              <w:rFonts w:ascii="Cambria Math" w:eastAsia="Times New Roman" w:hAnsi="Cambria Math"/>
                              <w:i/>
                              <w:lang w:val="es-CL" w:eastAsia="es-CL"/>
                            </w:rPr>
                          </m:ctrlPr>
                        </m:sSubPr>
                        <m:e>
                          <m:r>
                            <w:rPr>
                              <w:rFonts w:ascii="Cambria Math" w:eastAsia="Times New Roman" w:hAnsi="Cambria Math"/>
                              <w:lang w:val="es-CL" w:eastAsia="es-CL"/>
                            </w:rPr>
                            <m:t>r</m:t>
                          </m:r>
                        </m:e>
                        <m:sub>
                          <m:r>
                            <w:rPr>
                              <w:rFonts w:ascii="Cambria Math" w:eastAsia="Times New Roman" w:hAnsi="Cambria Math"/>
                              <w:lang w:val="es-CL" w:eastAsia="es-CL"/>
                            </w:rPr>
                            <m:t>j</m:t>
                          </m:r>
                        </m:sub>
                      </m:sSub>
                      <m:r>
                        <w:rPr>
                          <w:rFonts w:ascii="Cambria Math" w:eastAsia="Times New Roman" w:hAnsi="Cambria Math"/>
                          <w:lang w:val="es-CL" w:eastAsia="es-CL"/>
                        </w:rPr>
                        <m:t>)</m:t>
                      </m:r>
                    </m:e>
                  </m:nary>
                </m:e>
              </m:nary>
            </m:e>
          </m:d>
          <m:r>
            <w:rPr>
              <w:rFonts w:ascii="Cambria Math" w:eastAsia="Times New Roman" w:hAnsi="Cambria Math"/>
              <w:lang w:val="es-CL" w:eastAsia="es-CL"/>
            </w:rPr>
            <m:t>-</m:t>
          </m:r>
          <m:nary>
            <m:naryPr>
              <m:chr m:val="∑"/>
              <m:limLoc m:val="undOvr"/>
              <m:ctrlPr>
                <w:rPr>
                  <w:rFonts w:ascii="Cambria Math" w:eastAsia="Times New Roman" w:hAnsi="Cambria Math"/>
                  <w:i/>
                  <w:lang w:val="es-CL" w:eastAsia="es-CL"/>
                </w:rPr>
              </m:ctrlPr>
            </m:naryPr>
            <m:sub>
              <m:r>
                <w:rPr>
                  <w:rFonts w:ascii="Cambria Math" w:eastAsia="Times New Roman" w:hAnsi="Cambria Math"/>
                  <w:lang w:val="es-CL" w:eastAsia="es-CL"/>
                </w:rPr>
                <m:t>i=1</m:t>
              </m:r>
            </m:sub>
            <m:sup>
              <m:r>
                <w:rPr>
                  <w:rFonts w:ascii="Cambria Math" w:eastAsia="Times New Roman" w:hAnsi="Cambria Math"/>
                  <w:lang w:val="es-CL" w:eastAsia="es-CL"/>
                </w:rPr>
                <m:t>s-1</m:t>
              </m:r>
            </m:sup>
            <m:e>
              <m:sSub>
                <m:sSubPr>
                  <m:ctrlPr>
                    <w:rPr>
                      <w:rFonts w:ascii="Cambria Math" w:eastAsia="Times New Roman" w:hAnsi="Cambria Math"/>
                      <w:i/>
                      <w:lang w:val="es-CL" w:eastAsia="es-CL"/>
                    </w:rPr>
                  </m:ctrlPr>
                </m:sSubPr>
                <m:e>
                  <m:r>
                    <w:rPr>
                      <w:rFonts w:ascii="Cambria Math" w:eastAsia="Times New Roman" w:hAnsi="Cambria Math"/>
                      <w:lang w:val="es-CL" w:eastAsia="es-CL"/>
                    </w:rPr>
                    <m:t>I</m:t>
                  </m:r>
                </m:e>
                <m:sub>
                  <m:r>
                    <w:rPr>
                      <w:rFonts w:ascii="Cambria Math" w:eastAsia="Times New Roman" w:hAnsi="Cambria Math"/>
                      <w:lang w:val="es-CL" w:eastAsia="es-CL"/>
                    </w:rPr>
                    <m:t>i</m:t>
                  </m:r>
                </m:sub>
              </m:sSub>
            </m:e>
          </m:nary>
        </m:oMath>
      </m:oMathPara>
    </w:p>
    <w:p w:rsidR="00E370BD" w:rsidRPr="0027768E" w:rsidRDefault="00E370BD" w:rsidP="0027768E">
      <w:pPr>
        <w:spacing w:after="0" w:line="240" w:lineRule="auto"/>
        <w:ind w:left="1985" w:hanging="709"/>
        <w:rPr>
          <w:rFonts w:ascii="Calibri" w:hAnsi="Calibri" w:cs="Calibri"/>
          <w:color w:val="000000"/>
          <w:sz w:val="23"/>
          <w:szCs w:val="23"/>
          <w:lang w:val="es-UY"/>
        </w:rPr>
      </w:pPr>
      <w:r w:rsidRPr="0027768E">
        <w:rPr>
          <w:rFonts w:ascii="Calibri" w:hAnsi="Calibri" w:cs="Calibri"/>
          <w:color w:val="000000"/>
          <w:sz w:val="23"/>
          <w:szCs w:val="23"/>
          <w:lang w:val="es-UY"/>
        </w:rPr>
        <w:t>Donde:</w:t>
      </w:r>
    </w:p>
    <w:p w:rsidR="00E370BD" w:rsidRPr="0027768E" w:rsidRDefault="00E370BD" w:rsidP="0027768E">
      <w:pPr>
        <w:spacing w:after="0" w:line="240" w:lineRule="auto"/>
        <w:ind w:left="1985" w:hanging="709"/>
        <w:rPr>
          <w:rFonts w:ascii="Calibri" w:hAnsi="Calibri" w:cs="Calibri"/>
          <w:color w:val="000000"/>
          <w:sz w:val="23"/>
          <w:szCs w:val="23"/>
          <w:lang w:val="es-UY"/>
        </w:rPr>
      </w:pPr>
    </w:p>
    <w:p w:rsidR="00E370BD" w:rsidRPr="0027768E" w:rsidRDefault="00E370BD" w:rsidP="0027768E">
      <w:pPr>
        <w:spacing w:after="0" w:line="240" w:lineRule="auto"/>
        <w:ind w:left="1985" w:hanging="709"/>
        <w:rPr>
          <w:rFonts w:ascii="Calibri" w:hAnsi="Calibri" w:cs="Calibri"/>
          <w:color w:val="000000"/>
          <w:sz w:val="23"/>
          <w:szCs w:val="23"/>
          <w:lang w:val="es-UY"/>
        </w:rPr>
      </w:pPr>
      <m:oMath>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I</m:t>
            </m:r>
          </m:e>
          <m:sub>
            <m:r>
              <m:rPr>
                <m:sty m:val="p"/>
              </m:rPr>
              <w:rPr>
                <w:rFonts w:ascii="Cambria Math" w:hAnsi="Cambria Math" w:cs="Calibri"/>
                <w:color w:val="000000"/>
                <w:sz w:val="23"/>
                <w:szCs w:val="23"/>
                <w:lang w:val="es-UY"/>
              </w:rPr>
              <m:t>i</m:t>
            </m:r>
          </m:sub>
        </m:sSub>
      </m:oMath>
      <w:r w:rsidRPr="0027768E">
        <w:rPr>
          <w:rFonts w:ascii="Calibri" w:hAnsi="Calibri" w:cs="Calibri"/>
          <w:color w:val="000000"/>
          <w:sz w:val="23"/>
          <w:szCs w:val="23"/>
          <w:lang w:val="es-UY"/>
        </w:rPr>
        <w:t xml:space="preserve"> : es a la inversión realizada en el mes “i”, documentada por la Supervisión del Contrato en la manera indicada antes en esta misma cláusula.</w:t>
      </w:r>
    </w:p>
    <w:p w:rsidR="00E370BD" w:rsidRPr="0027768E" w:rsidRDefault="00E370BD" w:rsidP="0027768E">
      <w:pPr>
        <w:spacing w:after="0" w:line="240" w:lineRule="auto"/>
        <w:ind w:left="1985" w:hanging="709"/>
        <w:rPr>
          <w:rFonts w:ascii="Calibri" w:hAnsi="Calibri" w:cs="Calibri"/>
          <w:color w:val="000000"/>
          <w:sz w:val="23"/>
          <w:szCs w:val="23"/>
          <w:lang w:val="es-UY"/>
        </w:rPr>
      </w:pPr>
    </w:p>
    <w:p w:rsidR="00E370BD" w:rsidRPr="0027768E" w:rsidRDefault="00E370BD" w:rsidP="0027768E">
      <w:pPr>
        <w:spacing w:after="0" w:line="240" w:lineRule="auto"/>
        <w:ind w:left="1985" w:hanging="709"/>
        <w:rPr>
          <w:rFonts w:ascii="Calibri" w:hAnsi="Calibri" w:cs="Calibri"/>
          <w:color w:val="000000"/>
          <w:sz w:val="23"/>
          <w:szCs w:val="23"/>
          <w:lang w:val="es-UY"/>
        </w:rPr>
      </w:pPr>
      <w:proofErr w:type="gramStart"/>
      <w:r w:rsidRPr="0027768E">
        <w:rPr>
          <w:rFonts w:ascii="Calibri" w:hAnsi="Calibri" w:cs="Calibri"/>
          <w:b/>
          <w:color w:val="000000"/>
          <w:sz w:val="23"/>
          <w:szCs w:val="23"/>
          <w:lang w:val="es-UY"/>
        </w:rPr>
        <w:t>s</w:t>
      </w:r>
      <w:proofErr w:type="gramEnd"/>
      <w:r w:rsidRPr="0027768E">
        <w:rPr>
          <w:rFonts w:ascii="Calibri" w:hAnsi="Calibri" w:cs="Calibri"/>
          <w:color w:val="000000"/>
          <w:sz w:val="23"/>
          <w:szCs w:val="23"/>
          <w:lang w:val="es-UY"/>
        </w:rPr>
        <w:t xml:space="preserve"> : es el mes en que se produce la extinción del contrato, contado desde la firma del contrato.</w:t>
      </w:r>
    </w:p>
    <w:p w:rsidR="00E370BD" w:rsidRPr="0027768E" w:rsidRDefault="00E370BD" w:rsidP="0027768E">
      <w:pPr>
        <w:spacing w:after="0" w:line="240" w:lineRule="auto"/>
        <w:ind w:left="1985" w:hanging="709"/>
        <w:rPr>
          <w:rFonts w:ascii="Calibri" w:hAnsi="Calibri" w:cs="Calibri"/>
          <w:color w:val="000000"/>
          <w:sz w:val="23"/>
          <w:szCs w:val="23"/>
          <w:lang w:val="es-UY"/>
        </w:rPr>
      </w:pPr>
    </w:p>
    <w:p w:rsidR="00E370BD" w:rsidRPr="0027768E" w:rsidRDefault="00E370BD" w:rsidP="0027768E">
      <w:pPr>
        <w:spacing w:after="0" w:line="240" w:lineRule="auto"/>
        <w:ind w:left="1985" w:hanging="709"/>
        <w:rPr>
          <w:rFonts w:ascii="Calibri" w:hAnsi="Calibri" w:cs="Calibri"/>
          <w:color w:val="000000"/>
          <w:sz w:val="23"/>
          <w:szCs w:val="23"/>
          <w:lang w:val="es-UY"/>
        </w:rPr>
      </w:pPr>
      <m:oMath>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r</m:t>
            </m:r>
          </m:e>
          <m:sub>
            <m:r>
              <m:rPr>
                <m:sty m:val="p"/>
              </m:rPr>
              <w:rPr>
                <w:rFonts w:ascii="Cambria Math" w:hAnsi="Cambria Math" w:cs="Calibri"/>
                <w:color w:val="000000"/>
                <w:sz w:val="23"/>
                <w:szCs w:val="23"/>
                <w:lang w:val="es-UY"/>
              </w:rPr>
              <m:t>j</m:t>
            </m:r>
          </m:sub>
        </m:sSub>
      </m:oMath>
      <w:r w:rsidRPr="0027768E">
        <w:rPr>
          <w:rFonts w:ascii="Calibri" w:hAnsi="Calibri" w:cs="Calibri"/>
          <w:color w:val="000000"/>
          <w:sz w:val="23"/>
          <w:szCs w:val="23"/>
          <w:lang w:val="es-UY"/>
        </w:rPr>
        <w:t xml:space="preserve"> : </w:t>
      </w:r>
      <w:proofErr w:type="gramStart"/>
      <w:r w:rsidRPr="0027768E">
        <w:rPr>
          <w:rFonts w:ascii="Calibri" w:hAnsi="Calibri" w:cs="Calibri"/>
          <w:color w:val="000000"/>
          <w:sz w:val="23"/>
          <w:szCs w:val="23"/>
          <w:lang w:val="es-UY"/>
        </w:rPr>
        <w:t>se</w:t>
      </w:r>
      <w:proofErr w:type="gramEnd"/>
      <w:r w:rsidRPr="0027768E">
        <w:rPr>
          <w:rFonts w:ascii="Calibri" w:hAnsi="Calibri" w:cs="Calibri"/>
          <w:color w:val="000000"/>
          <w:sz w:val="23"/>
          <w:szCs w:val="23"/>
          <w:lang w:val="es-UY"/>
        </w:rPr>
        <w:t xml:space="preserve"> calculará con la siguiente fórmula: </w:t>
      </w:r>
      <m:oMath>
        <m:sSub>
          <m:sSubPr>
            <m:ctrlPr>
              <w:rPr>
                <w:rFonts w:ascii="Cambria Math" w:hAnsi="Cambria Math" w:cs="Calibri"/>
                <w:color w:val="000000"/>
                <w:sz w:val="23"/>
                <w:szCs w:val="23"/>
                <w:lang w:val="es-UY"/>
              </w:rPr>
            </m:ctrlPr>
          </m:sSubPr>
          <m:e>
            <m:r>
              <m:rPr>
                <m:sty m:val="p"/>
              </m:rPr>
              <w:rPr>
                <w:rFonts w:ascii="Cambria Math" w:hAnsi="Cambria Math" w:cs="Calibri"/>
                <w:color w:val="000000"/>
                <w:sz w:val="23"/>
                <w:szCs w:val="23"/>
                <w:lang w:val="es-UY"/>
              </w:rPr>
              <m:t>r</m:t>
            </m:r>
          </m:e>
          <m:sub>
            <m:r>
              <m:rPr>
                <m:sty m:val="p"/>
              </m:rPr>
              <w:rPr>
                <w:rFonts w:ascii="Cambria Math" w:hAnsi="Cambria Math" w:cs="Calibri"/>
                <w:color w:val="000000"/>
                <w:sz w:val="23"/>
                <w:szCs w:val="23"/>
                <w:lang w:val="es-UY"/>
              </w:rPr>
              <m:t>j</m:t>
            </m:r>
          </m:sub>
        </m:sSub>
      </m:oMath>
      <w:r w:rsidRPr="0027768E">
        <w:rPr>
          <w:rFonts w:ascii="Calibri" w:hAnsi="Calibri" w:cs="Calibri"/>
          <w:color w:val="000000"/>
          <w:sz w:val="23"/>
          <w:szCs w:val="23"/>
          <w:lang w:val="es-UY"/>
        </w:rPr>
        <w:t>= (1-</w:t>
      </w:r>
      <w:proofErr w:type="spellStart"/>
      <w:r w:rsidRPr="0027768E">
        <w:rPr>
          <w:rFonts w:ascii="Calibri" w:hAnsi="Calibri" w:cs="Calibri"/>
          <w:color w:val="000000"/>
          <w:sz w:val="23"/>
          <w:szCs w:val="23"/>
          <w:lang w:val="es-UY"/>
        </w:rPr>
        <w:t>tx</w:t>
      </w:r>
      <w:proofErr w:type="spellEnd"/>
      <w:r w:rsidRPr="0027768E">
        <w:rPr>
          <w:rFonts w:ascii="Calibri" w:hAnsi="Calibri" w:cs="Calibri"/>
          <w:color w:val="000000"/>
          <w:sz w:val="23"/>
          <w:szCs w:val="23"/>
          <w:lang w:val="es-UY"/>
        </w:rPr>
        <w:t xml:space="preserve">). </w:t>
      </w:r>
      <w:proofErr w:type="gramStart"/>
      <w:r w:rsidRPr="0027768E">
        <w:rPr>
          <w:rFonts w:ascii="Calibri" w:hAnsi="Calibri" w:cs="Calibri"/>
          <w:color w:val="000000"/>
          <w:sz w:val="23"/>
          <w:szCs w:val="23"/>
          <w:lang w:val="es-UY"/>
        </w:rPr>
        <w:t>dj</w:t>
      </w:r>
      <w:proofErr w:type="gramEnd"/>
      <w:r w:rsidRPr="0027768E">
        <w:rPr>
          <w:rFonts w:ascii="Calibri" w:hAnsi="Calibri" w:cs="Calibri"/>
          <w:color w:val="000000"/>
          <w:sz w:val="23"/>
          <w:szCs w:val="23"/>
          <w:lang w:val="es-UY"/>
        </w:rPr>
        <w:t xml:space="preserve">.  </w:t>
      </w:r>
      <w:proofErr w:type="spellStart"/>
      <w:proofErr w:type="gramStart"/>
      <w:r w:rsidRPr="0027768E">
        <w:rPr>
          <w:rFonts w:ascii="Calibri" w:hAnsi="Calibri" w:cs="Calibri"/>
          <w:color w:val="000000"/>
          <w:sz w:val="23"/>
          <w:szCs w:val="23"/>
          <w:lang w:val="es-UY"/>
        </w:rPr>
        <w:t>rd</w:t>
      </w:r>
      <w:proofErr w:type="spellEnd"/>
      <w:proofErr w:type="gramEnd"/>
    </w:p>
    <w:p w:rsidR="00E370BD" w:rsidRPr="0027768E" w:rsidRDefault="00E370BD" w:rsidP="0027768E">
      <w:pPr>
        <w:spacing w:after="0" w:line="240" w:lineRule="auto"/>
        <w:ind w:left="1985" w:hanging="709"/>
        <w:rPr>
          <w:rFonts w:ascii="Calibri" w:hAnsi="Calibri" w:cs="Calibri"/>
          <w:color w:val="000000"/>
          <w:sz w:val="23"/>
          <w:szCs w:val="23"/>
          <w:lang w:val="es-UY"/>
        </w:rPr>
      </w:pPr>
    </w:p>
    <w:p w:rsidR="00E370BD" w:rsidRPr="00F56EC1" w:rsidRDefault="00E370BD" w:rsidP="00E370BD">
      <w:pPr>
        <w:spacing w:after="0" w:line="240" w:lineRule="auto"/>
        <w:ind w:left="709"/>
        <w:jc w:val="center"/>
        <w:rPr>
          <w:rFonts w:ascii="Times New Roman" w:eastAsia="Times New Roman" w:hAnsi="Times New Roman"/>
          <w:strike/>
          <w:position w:val="-14"/>
          <w:lang w:val="es-CL" w:eastAsia="es-CL"/>
        </w:rPr>
      </w:pPr>
      <w:r w:rsidRPr="00F56EC1">
        <w:rPr>
          <w:rFonts w:eastAsia="Times New Roman"/>
          <w:strike/>
          <w:position w:val="-14"/>
          <w:lang w:val="es-CL" w:eastAsia="es-CL"/>
        </w:rPr>
        <w:object w:dxaOrig="25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7.2pt;height:21.6pt" o:ole="">
            <v:imagedata r:id="rId7" o:title=""/>
          </v:shape>
          <o:OLEObject Type="Embed" ProgID="Equation.3" ShapeID="_x0000_i1036" DrawAspect="Content" ObjectID="_1586086817" r:id="rId8"/>
        </w:object>
      </w:r>
    </w:p>
    <w:p w:rsidR="0027768E" w:rsidRDefault="0027768E" w:rsidP="0027768E">
      <w:pPr>
        <w:spacing w:after="0" w:line="240" w:lineRule="auto"/>
        <w:ind w:left="1985" w:hanging="709"/>
        <w:rPr>
          <w:rFonts w:ascii="Calibri" w:hAnsi="Calibri" w:cs="Calibri"/>
          <w:color w:val="000000"/>
          <w:sz w:val="23"/>
          <w:szCs w:val="23"/>
          <w:lang w:val="es-UY"/>
        </w:rPr>
      </w:pPr>
    </w:p>
    <w:p w:rsidR="0027768E" w:rsidRDefault="0027768E" w:rsidP="0027768E">
      <w:pPr>
        <w:spacing w:after="0" w:line="240" w:lineRule="auto"/>
        <w:ind w:left="1985" w:hanging="709"/>
        <w:rPr>
          <w:rFonts w:ascii="Calibri" w:hAnsi="Calibri" w:cs="Calibri"/>
          <w:color w:val="000000"/>
          <w:sz w:val="23"/>
          <w:szCs w:val="23"/>
          <w:lang w:val="es-UY"/>
        </w:rPr>
      </w:pPr>
    </w:p>
    <w:p w:rsidR="00E370BD" w:rsidRPr="0027768E" w:rsidRDefault="00E370BD" w:rsidP="0027768E">
      <w:pPr>
        <w:spacing w:after="0" w:line="240" w:lineRule="auto"/>
        <w:ind w:left="1985" w:hanging="709"/>
        <w:rPr>
          <w:rFonts w:ascii="Calibri" w:hAnsi="Calibri" w:cs="Calibri"/>
          <w:color w:val="000000"/>
          <w:sz w:val="23"/>
          <w:szCs w:val="23"/>
          <w:lang w:val="es-UY"/>
        </w:rPr>
      </w:pPr>
      <w:r w:rsidRPr="0027768E">
        <w:rPr>
          <w:rFonts w:ascii="Calibri" w:hAnsi="Calibri" w:cs="Calibri"/>
          <w:color w:val="000000"/>
          <w:sz w:val="23"/>
          <w:szCs w:val="23"/>
          <w:lang w:val="es-UY"/>
        </w:rPr>
        <w:lastRenderedPageBreak/>
        <w:t>Donde:</w:t>
      </w:r>
    </w:p>
    <w:p w:rsidR="00E370BD" w:rsidRPr="00431FE1" w:rsidRDefault="00E370BD" w:rsidP="00E370BD">
      <w:pPr>
        <w:spacing w:after="0" w:line="240" w:lineRule="auto"/>
        <w:ind w:left="1985" w:hanging="709"/>
        <w:rPr>
          <w:rFonts w:eastAsia="Times New Roman"/>
          <w:lang w:val="es-CL" w:eastAsia="es-CL"/>
        </w:rPr>
      </w:pPr>
    </w:p>
    <w:p w:rsidR="00E370BD" w:rsidRPr="0027768E" w:rsidRDefault="00E370BD" w:rsidP="00E370BD">
      <w:pPr>
        <w:spacing w:after="0" w:line="240" w:lineRule="auto"/>
        <w:ind w:left="1985" w:hanging="709"/>
        <w:rPr>
          <w:rFonts w:ascii="Calibri" w:hAnsi="Calibri" w:cs="Calibri"/>
          <w:color w:val="000000"/>
          <w:sz w:val="23"/>
          <w:szCs w:val="23"/>
          <w:lang w:val="es-UY"/>
        </w:rPr>
      </w:pPr>
      <w:proofErr w:type="gramStart"/>
      <w:r w:rsidRPr="0027768E">
        <w:rPr>
          <w:rFonts w:ascii="Calibri" w:hAnsi="Calibri" w:cs="Calibri"/>
          <w:b/>
          <w:color w:val="000000"/>
          <w:sz w:val="23"/>
          <w:szCs w:val="23"/>
          <w:lang w:val="es-UY"/>
        </w:rPr>
        <w:t>dj</w:t>
      </w:r>
      <w:proofErr w:type="gramEnd"/>
      <w:r w:rsidRPr="0027768E">
        <w:rPr>
          <w:rFonts w:ascii="Calibri" w:hAnsi="Calibri" w:cs="Calibri"/>
          <w:b/>
          <w:color w:val="000000"/>
          <w:sz w:val="23"/>
          <w:szCs w:val="23"/>
          <w:lang w:val="es-UY"/>
        </w:rPr>
        <w:t xml:space="preserve">  </w:t>
      </w:r>
      <w:r w:rsidRPr="0027768E">
        <w:rPr>
          <w:rFonts w:ascii="Calibri" w:hAnsi="Calibri" w:cs="Calibri"/>
          <w:color w:val="000000"/>
          <w:sz w:val="23"/>
          <w:szCs w:val="23"/>
          <w:lang w:val="es-UY"/>
        </w:rPr>
        <w:t>:</w:t>
      </w:r>
      <w:r w:rsidRPr="0027768E">
        <w:rPr>
          <w:rFonts w:ascii="Calibri" w:hAnsi="Calibri" w:cs="Calibri"/>
          <w:color w:val="000000"/>
          <w:sz w:val="23"/>
          <w:szCs w:val="23"/>
          <w:lang w:val="es-UY"/>
        </w:rPr>
        <w:tab/>
        <w:t xml:space="preserve">Es la proporción de la inversión del mes “j” que proviene de deuda de la Contratista, obtenido de los documentos del financiamiento. Para toda j: </w:t>
      </w:r>
      <w:proofErr w:type="spellStart"/>
      <w:r w:rsidRPr="0027768E">
        <w:rPr>
          <w:rFonts w:ascii="Calibri" w:hAnsi="Calibri" w:cs="Calibri"/>
          <w:color w:val="000000"/>
          <w:sz w:val="23"/>
          <w:szCs w:val="23"/>
          <w:lang w:val="es-UY"/>
        </w:rPr>
        <w:t>kj</w:t>
      </w:r>
      <w:proofErr w:type="spellEnd"/>
      <w:r w:rsidRPr="0027768E">
        <w:rPr>
          <w:rFonts w:ascii="Calibri" w:hAnsi="Calibri" w:cs="Calibri"/>
          <w:color w:val="000000"/>
          <w:sz w:val="23"/>
          <w:szCs w:val="23"/>
          <w:lang w:val="es-UY"/>
        </w:rPr>
        <w:t xml:space="preserve"> + dj = 1.</w:t>
      </w:r>
    </w:p>
    <w:p w:rsidR="00E370BD" w:rsidRPr="00431FE1" w:rsidRDefault="00E370BD" w:rsidP="00E370BD">
      <w:pPr>
        <w:spacing w:after="0" w:line="240" w:lineRule="auto"/>
        <w:ind w:left="1985" w:hanging="709"/>
        <w:rPr>
          <w:rFonts w:eastAsia="Times New Roman"/>
          <w:lang w:val="es-CL" w:eastAsia="es-CL"/>
        </w:rPr>
      </w:pPr>
    </w:p>
    <w:p w:rsidR="00E370BD" w:rsidRPr="0027768E" w:rsidRDefault="00E370BD" w:rsidP="00E370BD">
      <w:pPr>
        <w:spacing w:after="0" w:line="240" w:lineRule="auto"/>
        <w:ind w:left="1985" w:hanging="709"/>
        <w:rPr>
          <w:rFonts w:ascii="Calibri" w:hAnsi="Calibri" w:cs="Calibri"/>
          <w:color w:val="000000"/>
          <w:sz w:val="23"/>
          <w:szCs w:val="23"/>
          <w:lang w:val="es-UY"/>
        </w:rPr>
      </w:pPr>
      <w:proofErr w:type="spellStart"/>
      <w:proofErr w:type="gramStart"/>
      <w:r w:rsidRPr="0027768E">
        <w:rPr>
          <w:rFonts w:ascii="Calibri" w:hAnsi="Calibri" w:cs="Calibri"/>
          <w:b/>
          <w:color w:val="000000"/>
          <w:sz w:val="23"/>
          <w:szCs w:val="23"/>
          <w:lang w:val="es-UY"/>
        </w:rPr>
        <w:t>rd</w:t>
      </w:r>
      <w:proofErr w:type="spellEnd"/>
      <w:proofErr w:type="gramEnd"/>
      <w:r w:rsidRPr="0027768E">
        <w:rPr>
          <w:rFonts w:ascii="Calibri" w:hAnsi="Calibri" w:cs="Calibri"/>
          <w:color w:val="000000"/>
          <w:sz w:val="23"/>
          <w:szCs w:val="23"/>
          <w:lang w:val="es-UY"/>
        </w:rPr>
        <w:t>:</w:t>
      </w:r>
      <w:r w:rsidRPr="0027768E">
        <w:rPr>
          <w:rFonts w:ascii="Calibri" w:hAnsi="Calibri" w:cs="Calibri"/>
          <w:color w:val="000000"/>
          <w:sz w:val="23"/>
          <w:szCs w:val="23"/>
          <w:lang w:val="es-UY"/>
        </w:rPr>
        <w:tab/>
        <w:t>Corresponde a la tasa de interés mensual que cumple con la ecuación (1+rd)12 = 1 + la tasa de interés anual de la deuda contraída por la Contratista para la ejecución</w:t>
      </w:r>
      <w:r w:rsidRPr="0027768E" w:rsidDel="00F076FF">
        <w:rPr>
          <w:rFonts w:ascii="Calibri" w:hAnsi="Calibri" w:cs="Calibri"/>
          <w:color w:val="000000"/>
          <w:sz w:val="23"/>
          <w:szCs w:val="23"/>
          <w:lang w:val="es-UY"/>
        </w:rPr>
        <w:t xml:space="preserve"> </w:t>
      </w:r>
      <w:r w:rsidRPr="0027768E">
        <w:rPr>
          <w:rFonts w:ascii="Calibri" w:hAnsi="Calibri" w:cs="Calibri"/>
          <w:color w:val="000000"/>
          <w:sz w:val="23"/>
          <w:szCs w:val="23"/>
          <w:lang w:val="es-UY"/>
        </w:rPr>
        <w:t>de la obra objeto del presente contrato, expresada como tasa sobre Unidades Indexadas. Corresponde únicamente a la tasa de interés y no incluye comisiones de ningún tipo.</w:t>
      </w:r>
    </w:p>
    <w:p w:rsidR="00E370BD" w:rsidRPr="00431FE1" w:rsidRDefault="00E370BD" w:rsidP="00E370BD">
      <w:pPr>
        <w:spacing w:after="0" w:line="240" w:lineRule="auto"/>
        <w:ind w:left="1985"/>
        <w:rPr>
          <w:rFonts w:eastAsia="Times New Roman"/>
          <w:lang w:val="es-CL" w:eastAsia="es-CL"/>
        </w:rPr>
      </w:pPr>
      <w:r w:rsidRPr="0027768E">
        <w:rPr>
          <w:rFonts w:ascii="Calibri" w:hAnsi="Calibri" w:cs="Calibri"/>
          <w:color w:val="000000"/>
          <w:sz w:val="23"/>
          <w:szCs w:val="23"/>
          <w:lang w:val="es-UY"/>
        </w:rPr>
        <w:t xml:space="preserve">En caso que la Contratista hubiera contado con más de un tipo de financiamiento, corresponde al promedio de las tasas ponderadas por el monto de cada tipo de deuda. En caso que la deuda, toda o parte, se hubiera contratado en otra moneda o con tasa variable, la APC calculará con similar criterio la </w:t>
      </w:r>
      <w:proofErr w:type="spellStart"/>
      <w:r w:rsidRPr="0027768E">
        <w:rPr>
          <w:rFonts w:ascii="Calibri" w:hAnsi="Calibri" w:cs="Calibri"/>
          <w:color w:val="000000"/>
          <w:sz w:val="23"/>
          <w:szCs w:val="23"/>
          <w:lang w:val="es-UY"/>
        </w:rPr>
        <w:t>rd</w:t>
      </w:r>
      <w:proofErr w:type="spellEnd"/>
      <w:r w:rsidRPr="0027768E">
        <w:rPr>
          <w:rFonts w:ascii="Calibri" w:hAnsi="Calibri" w:cs="Calibri"/>
          <w:color w:val="000000"/>
          <w:sz w:val="23"/>
          <w:szCs w:val="23"/>
          <w:lang w:val="es-UY"/>
        </w:rPr>
        <w:t xml:space="preserve"> que refleje el costo ponderado del financiamiento</w:t>
      </w:r>
      <w:r w:rsidRPr="00431FE1">
        <w:rPr>
          <w:rFonts w:eastAsia="Times New Roman"/>
          <w:lang w:val="es-CL" w:eastAsia="es-CL"/>
        </w:rPr>
        <w:t>.</w:t>
      </w:r>
    </w:p>
    <w:p w:rsidR="00E370BD" w:rsidRPr="00431FE1" w:rsidRDefault="00E370BD" w:rsidP="00E370BD">
      <w:pPr>
        <w:spacing w:after="0" w:line="240" w:lineRule="auto"/>
        <w:ind w:left="1985" w:hanging="709"/>
        <w:rPr>
          <w:rFonts w:eastAsia="Times New Roman"/>
          <w:lang w:val="es-CL" w:eastAsia="es-CL"/>
        </w:rPr>
      </w:pPr>
    </w:p>
    <w:p w:rsidR="00E370BD" w:rsidRPr="00431FE1" w:rsidRDefault="00E370BD" w:rsidP="00E370BD">
      <w:pPr>
        <w:spacing w:after="0" w:line="240" w:lineRule="auto"/>
        <w:ind w:left="1985" w:hanging="709"/>
        <w:rPr>
          <w:rFonts w:eastAsia="Times New Roman"/>
          <w:lang w:val="es-CL" w:eastAsia="es-CL"/>
        </w:rPr>
      </w:pPr>
      <w:proofErr w:type="spellStart"/>
      <w:proofErr w:type="gramStart"/>
      <w:r w:rsidRPr="0027768E">
        <w:rPr>
          <w:rFonts w:ascii="Calibri" w:hAnsi="Calibri" w:cs="Calibri"/>
          <w:b/>
          <w:color w:val="000000"/>
          <w:sz w:val="23"/>
          <w:szCs w:val="23"/>
          <w:lang w:val="es-UY"/>
        </w:rPr>
        <w:t>tx</w:t>
      </w:r>
      <w:proofErr w:type="spellEnd"/>
      <w:proofErr w:type="gramEnd"/>
      <w:r w:rsidRPr="0027768E">
        <w:rPr>
          <w:rFonts w:ascii="Calibri" w:hAnsi="Calibri" w:cs="Calibri"/>
          <w:color w:val="000000"/>
          <w:sz w:val="23"/>
          <w:szCs w:val="23"/>
          <w:lang w:val="es-UY"/>
        </w:rPr>
        <w:t xml:space="preserve">   </w:t>
      </w:r>
      <w:r w:rsidRPr="00431FE1">
        <w:rPr>
          <w:rFonts w:eastAsia="Times New Roman"/>
          <w:vertAlign w:val="subscript"/>
          <w:lang w:val="es-CL" w:eastAsia="es-CL"/>
        </w:rPr>
        <w:t xml:space="preserve"> :</w:t>
      </w:r>
      <w:r w:rsidRPr="00431FE1">
        <w:rPr>
          <w:rFonts w:eastAsia="Times New Roman"/>
          <w:vertAlign w:val="subscript"/>
          <w:lang w:val="es-CL" w:eastAsia="es-CL"/>
        </w:rPr>
        <w:tab/>
      </w:r>
      <w:r w:rsidRPr="00431FE1">
        <w:rPr>
          <w:rFonts w:eastAsia="Times New Roman"/>
          <w:lang w:val="es-CL" w:eastAsia="es-CL"/>
        </w:rPr>
        <w:t xml:space="preserve"> </w:t>
      </w:r>
      <w:r w:rsidRPr="0027768E">
        <w:rPr>
          <w:rFonts w:ascii="Calibri" w:hAnsi="Calibri" w:cs="Calibri"/>
          <w:color w:val="000000"/>
          <w:sz w:val="23"/>
          <w:szCs w:val="23"/>
          <w:lang w:val="es-UY"/>
        </w:rPr>
        <w:t>Es la tasa de impuesto a la renta que aplique a la Contratista de este proyecto en la etapa de construcción</w:t>
      </w:r>
      <w:r w:rsidRPr="00431FE1">
        <w:rPr>
          <w:rFonts w:eastAsia="Times New Roman"/>
          <w:lang w:val="es-CL" w:eastAsia="es-CL"/>
        </w:rPr>
        <w:t>.</w:t>
      </w:r>
    </w:p>
    <w:p w:rsidR="00E370BD" w:rsidRDefault="00E370BD" w:rsidP="00E370BD">
      <w:pPr>
        <w:rPr>
          <w:rFonts w:ascii="Cambria Math" w:eastAsia="Times New Roman" w:hAnsi="Cambria Math"/>
          <w:lang w:val="es-CL" w:eastAsia="es-CL"/>
        </w:rPr>
      </w:pPr>
    </w:p>
    <w:p w:rsidR="00E370BD" w:rsidRPr="00E370BD" w:rsidRDefault="00E370BD" w:rsidP="00D3162C">
      <w:pPr>
        <w:jc w:val="both"/>
        <w:rPr>
          <w:b/>
          <w:caps/>
          <w:sz w:val="28"/>
          <w:szCs w:val="28"/>
          <w:u w:val="single"/>
          <w:lang w:val="es-CL"/>
        </w:rPr>
      </w:pPr>
    </w:p>
    <w:p w:rsidR="00E370BD" w:rsidRPr="00D3162C" w:rsidRDefault="00E370BD" w:rsidP="00D3162C">
      <w:pPr>
        <w:jc w:val="both"/>
        <w:rPr>
          <w:b/>
          <w:caps/>
          <w:sz w:val="28"/>
          <w:szCs w:val="28"/>
          <w:u w:val="single"/>
        </w:rPr>
      </w:pPr>
    </w:p>
    <w:sectPr w:rsidR="00E370BD" w:rsidRPr="00D3162C" w:rsidSect="00CA73E7">
      <w:head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0BD" w:rsidRDefault="00E370BD" w:rsidP="008A5A54">
      <w:pPr>
        <w:spacing w:after="0" w:line="240" w:lineRule="auto"/>
      </w:pPr>
      <w:r>
        <w:separator/>
      </w:r>
    </w:p>
  </w:endnote>
  <w:endnote w:type="continuationSeparator" w:id="1">
    <w:p w:rsidR="00E370BD" w:rsidRDefault="00E370BD"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0BD" w:rsidRDefault="00E370BD" w:rsidP="008A5A54">
      <w:pPr>
        <w:spacing w:after="0" w:line="240" w:lineRule="auto"/>
      </w:pPr>
      <w:r>
        <w:separator/>
      </w:r>
    </w:p>
  </w:footnote>
  <w:footnote w:type="continuationSeparator" w:id="1">
    <w:p w:rsidR="00E370BD" w:rsidRDefault="00E370BD"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0BD" w:rsidRPr="008A5A54" w:rsidRDefault="00E370BD"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1">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A5A54"/>
    <w:rsid w:val="00001BE9"/>
    <w:rsid w:val="00034A7F"/>
    <w:rsid w:val="000C4C7A"/>
    <w:rsid w:val="000D4456"/>
    <w:rsid w:val="0018782C"/>
    <w:rsid w:val="001D390E"/>
    <w:rsid w:val="001D3A18"/>
    <w:rsid w:val="00215E1E"/>
    <w:rsid w:val="00246189"/>
    <w:rsid w:val="00261BB8"/>
    <w:rsid w:val="0027768E"/>
    <w:rsid w:val="00285DFB"/>
    <w:rsid w:val="002C7E8D"/>
    <w:rsid w:val="002F3FF5"/>
    <w:rsid w:val="00396F63"/>
    <w:rsid w:val="00406003"/>
    <w:rsid w:val="00434F17"/>
    <w:rsid w:val="00437FD8"/>
    <w:rsid w:val="004D7F3D"/>
    <w:rsid w:val="0060590B"/>
    <w:rsid w:val="00652A51"/>
    <w:rsid w:val="00775B81"/>
    <w:rsid w:val="007A2FA1"/>
    <w:rsid w:val="00803B32"/>
    <w:rsid w:val="00805BD5"/>
    <w:rsid w:val="008871AC"/>
    <w:rsid w:val="008A5A54"/>
    <w:rsid w:val="008A7FE3"/>
    <w:rsid w:val="008E5754"/>
    <w:rsid w:val="008F59CD"/>
    <w:rsid w:val="00902449"/>
    <w:rsid w:val="009827B8"/>
    <w:rsid w:val="009B4469"/>
    <w:rsid w:val="009E2E1E"/>
    <w:rsid w:val="009F66DB"/>
    <w:rsid w:val="00A204A4"/>
    <w:rsid w:val="00A519DE"/>
    <w:rsid w:val="00A53D9A"/>
    <w:rsid w:val="00A60ED6"/>
    <w:rsid w:val="00AF637F"/>
    <w:rsid w:val="00BB10BC"/>
    <w:rsid w:val="00C43A5B"/>
    <w:rsid w:val="00C762CD"/>
    <w:rsid w:val="00C81E74"/>
    <w:rsid w:val="00CA73E7"/>
    <w:rsid w:val="00D3162C"/>
    <w:rsid w:val="00DC4E60"/>
    <w:rsid w:val="00E35CD0"/>
    <w:rsid w:val="00E370BD"/>
    <w:rsid w:val="00EB278F"/>
    <w:rsid w:val="00EB5D0C"/>
    <w:rsid w:val="00ED30C2"/>
    <w:rsid w:val="00F31BCF"/>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503</Words>
  <Characters>2770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Leodan Gonzalez</dc:creator>
  <cp:lastModifiedBy>sjuncal</cp:lastModifiedBy>
  <cp:revision>6</cp:revision>
  <dcterms:created xsi:type="dcterms:W3CDTF">2017-05-05T14:44:00Z</dcterms:created>
  <dcterms:modified xsi:type="dcterms:W3CDTF">2018-04-24T17:54:00Z</dcterms:modified>
</cp:coreProperties>
</file>