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0C715" w14:textId="59B7A1D3" w:rsidR="00E46D5A" w:rsidRPr="00E522B1" w:rsidRDefault="00E06C9F" w:rsidP="00E06C9F">
      <w:pPr>
        <w:jc w:val="both"/>
        <w:rPr>
          <w:rFonts w:ascii="Arial" w:hAnsi="Arial" w:cs="Arial"/>
          <w:b/>
          <w:u w:val="single"/>
        </w:rPr>
      </w:pPr>
      <w:r w:rsidRPr="00E522B1">
        <w:rPr>
          <w:rFonts w:ascii="Arial" w:hAnsi="Arial" w:cs="Arial"/>
          <w:b/>
          <w:u w:val="single"/>
        </w:rPr>
        <w:t>Atento a</w:t>
      </w:r>
      <w:r w:rsidR="00407C36">
        <w:rPr>
          <w:rFonts w:ascii="Arial" w:hAnsi="Arial" w:cs="Arial"/>
          <w:b/>
          <w:u w:val="single"/>
        </w:rPr>
        <w:t xml:space="preserve"> las consultas formuladas</w:t>
      </w:r>
    </w:p>
    <w:p w14:paraId="7F78BE68" w14:textId="540A2A02" w:rsidR="00264F3F" w:rsidRDefault="002674B8" w:rsidP="00267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81133">
        <w:rPr>
          <w:rFonts w:ascii="Arial" w:hAnsi="Arial" w:cs="Arial"/>
        </w:rPr>
        <w:t>D</w:t>
      </w:r>
      <w:r w:rsidR="00E06C9F" w:rsidRPr="00E81133">
        <w:rPr>
          <w:rFonts w:ascii="Arial" w:hAnsi="Arial" w:cs="Arial"/>
        </w:rPr>
        <w:t>onde se dice que “</w:t>
      </w:r>
      <w:r w:rsidR="00E06C9F" w:rsidRPr="00E81133">
        <w:rPr>
          <w:rFonts w:ascii="Arial" w:hAnsi="Arial" w:cs="Arial"/>
          <w:b/>
        </w:rPr>
        <w:t>El servicio comprenderá:”</w:t>
      </w:r>
      <w:r w:rsidR="00E06C9F" w:rsidRPr="00E81133">
        <w:rPr>
          <w:rFonts w:ascii="Arial" w:hAnsi="Arial" w:cs="Arial"/>
        </w:rPr>
        <w:t xml:space="preserve"> del </w:t>
      </w:r>
      <w:r w:rsidR="006D6F05" w:rsidRPr="006D6F05">
        <w:rPr>
          <w:rFonts w:ascii="Arial" w:hAnsi="Arial" w:cs="Arial"/>
          <w:b/>
        </w:rPr>
        <w:t>numeral</w:t>
      </w:r>
      <w:r w:rsidR="00E06C9F" w:rsidRPr="006D6F05">
        <w:rPr>
          <w:rFonts w:ascii="Arial" w:hAnsi="Arial" w:cs="Arial"/>
          <w:b/>
        </w:rPr>
        <w:t xml:space="preserve"> 1.2. de </w:t>
      </w:r>
      <w:r w:rsidR="006D6F05" w:rsidRPr="006D6F05">
        <w:rPr>
          <w:rFonts w:ascii="Arial" w:hAnsi="Arial" w:cs="Arial"/>
          <w:b/>
        </w:rPr>
        <w:t>“</w:t>
      </w:r>
      <w:r w:rsidR="00E06C9F" w:rsidRPr="006D6F05">
        <w:rPr>
          <w:rFonts w:ascii="Arial" w:hAnsi="Arial" w:cs="Arial"/>
          <w:b/>
        </w:rPr>
        <w:t>Objetivos Específicos</w:t>
      </w:r>
      <w:r w:rsidR="006D6F05" w:rsidRPr="006D6F05">
        <w:rPr>
          <w:rFonts w:ascii="Arial" w:hAnsi="Arial" w:cs="Arial"/>
          <w:b/>
        </w:rPr>
        <w:t xml:space="preserve">” </w:t>
      </w:r>
      <w:r w:rsidR="006D6F05">
        <w:rPr>
          <w:rFonts w:ascii="Arial" w:hAnsi="Arial" w:cs="Arial"/>
        </w:rPr>
        <w:t>del Pliego</w:t>
      </w:r>
      <w:r w:rsidR="00E06C9F" w:rsidRPr="00E81133">
        <w:rPr>
          <w:rFonts w:ascii="Arial" w:hAnsi="Arial" w:cs="Arial"/>
        </w:rPr>
        <w:t xml:space="preserve">, se </w:t>
      </w:r>
      <w:r w:rsidR="00122318" w:rsidRPr="00E81133">
        <w:rPr>
          <w:rFonts w:ascii="Arial" w:hAnsi="Arial" w:cs="Arial"/>
        </w:rPr>
        <w:t>entiende</w:t>
      </w:r>
      <w:r w:rsidR="00E06C9F" w:rsidRPr="00E81133">
        <w:rPr>
          <w:rFonts w:ascii="Arial" w:hAnsi="Arial" w:cs="Arial"/>
        </w:rPr>
        <w:t xml:space="preserve"> que la contratación</w:t>
      </w:r>
      <w:r w:rsidR="00122318" w:rsidRPr="00E81133">
        <w:rPr>
          <w:rFonts w:ascii="Arial" w:hAnsi="Arial" w:cs="Arial"/>
        </w:rPr>
        <w:t xml:space="preserve"> incluye</w:t>
      </w:r>
      <w:r w:rsidR="00E06C9F" w:rsidRPr="00E81133">
        <w:rPr>
          <w:rFonts w:ascii="Arial" w:hAnsi="Arial" w:cs="Arial"/>
        </w:rPr>
        <w:t xml:space="preserve">, </w:t>
      </w:r>
      <w:r w:rsidR="00E06C9F" w:rsidRPr="00E81133">
        <w:rPr>
          <w:rFonts w:ascii="Arial" w:hAnsi="Arial" w:cs="Arial"/>
          <w:b/>
          <w:i/>
          <w:u w:val="single"/>
        </w:rPr>
        <w:t>en todos los casos</w:t>
      </w:r>
      <w:r w:rsidR="00E06C9F" w:rsidRPr="00E81133">
        <w:rPr>
          <w:rFonts w:ascii="Arial" w:hAnsi="Arial" w:cs="Arial"/>
        </w:rPr>
        <w:t>, la planificación, diseño, gestión, ejecución, seguimiento así como evaluación de impacto.</w:t>
      </w:r>
      <w:r w:rsidR="00122318" w:rsidRPr="00E81133">
        <w:rPr>
          <w:rFonts w:ascii="Arial" w:hAnsi="Arial" w:cs="Arial"/>
        </w:rPr>
        <w:t xml:space="preserve"> Todo lo </w:t>
      </w:r>
      <w:r w:rsidR="00E81133" w:rsidRPr="00E81133">
        <w:rPr>
          <w:rFonts w:ascii="Arial" w:hAnsi="Arial" w:cs="Arial"/>
        </w:rPr>
        <w:t>previsto en el objeto del llamado</w:t>
      </w:r>
      <w:r w:rsidR="00122318" w:rsidRPr="00E81133">
        <w:rPr>
          <w:rFonts w:ascii="Arial" w:hAnsi="Arial" w:cs="Arial"/>
        </w:rPr>
        <w:t xml:space="preserve"> será gestionado por el contratante y supervisado por el MGAP.</w:t>
      </w:r>
    </w:p>
    <w:p w14:paraId="7E13AFB6" w14:textId="77777777" w:rsidR="00AB1D2F" w:rsidRDefault="00AB1D2F" w:rsidP="00AB1D2F">
      <w:pPr>
        <w:pStyle w:val="Prrafodelista"/>
        <w:jc w:val="both"/>
        <w:rPr>
          <w:rFonts w:ascii="Arial" w:hAnsi="Arial" w:cs="Arial"/>
        </w:rPr>
      </w:pPr>
    </w:p>
    <w:p w14:paraId="37DB95EE" w14:textId="77777777" w:rsidR="00AB1D2F" w:rsidRDefault="00AB1D2F" w:rsidP="00AB1D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B1D2F">
        <w:rPr>
          <w:rFonts w:ascii="Arial" w:hAnsi="Arial" w:cs="Arial"/>
          <w:color w:val="000000" w:themeColor="text1"/>
        </w:rPr>
        <w:t xml:space="preserve">Cuando se menciona en el </w:t>
      </w:r>
      <w:r w:rsidRPr="00AB1D2F">
        <w:rPr>
          <w:rFonts w:ascii="Arial" w:hAnsi="Arial" w:cs="Arial"/>
          <w:b/>
          <w:color w:val="000000" w:themeColor="text1"/>
        </w:rPr>
        <w:t>numeral 1.2. de “Objetivos Específicos”</w:t>
      </w:r>
      <w:r w:rsidRPr="00AB1D2F">
        <w:rPr>
          <w:rFonts w:ascii="Arial" w:hAnsi="Arial" w:cs="Arial"/>
          <w:color w:val="000000" w:themeColor="text1"/>
        </w:rPr>
        <w:t xml:space="preserve"> como “Público Objetivo” al Sector comercial y de Servicios del rubro “Alimentación” nos referimos a las empresas que se dedican a la contratación de bienes y servicios  relativos a alimentos.</w:t>
      </w:r>
    </w:p>
    <w:p w14:paraId="2F5A9B64" w14:textId="77777777" w:rsidR="00B913A1" w:rsidRPr="00B913A1" w:rsidRDefault="00B913A1" w:rsidP="00B913A1">
      <w:pPr>
        <w:pStyle w:val="Prrafodelista"/>
        <w:rPr>
          <w:rFonts w:ascii="Arial" w:hAnsi="Arial" w:cs="Arial"/>
          <w:color w:val="000000" w:themeColor="text1"/>
        </w:rPr>
      </w:pPr>
    </w:p>
    <w:p w14:paraId="3DD1A959" w14:textId="6BD617D2" w:rsidR="00B913A1" w:rsidRDefault="00B913A1" w:rsidP="00B913A1">
      <w:pPr>
        <w:pStyle w:val="Prrafodelist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cantidad de “eventos” a instrumentarse por año será parte de </w:t>
      </w:r>
      <w:r w:rsidR="003245DA">
        <w:rPr>
          <w:rFonts w:ascii="Arial" w:hAnsi="Arial" w:cs="Arial"/>
          <w:color w:val="000000" w:themeColor="text1"/>
        </w:rPr>
        <w:t xml:space="preserve">la investigación y de la propuesta </w:t>
      </w:r>
      <w:r>
        <w:rPr>
          <w:rFonts w:ascii="Arial" w:hAnsi="Arial" w:cs="Arial"/>
          <w:color w:val="000000" w:themeColor="text1"/>
        </w:rPr>
        <w:t>de la empresa a contratar</w:t>
      </w:r>
      <w:r w:rsidR="003245DA">
        <w:rPr>
          <w:rFonts w:ascii="Arial" w:hAnsi="Arial" w:cs="Arial"/>
          <w:color w:val="000000" w:themeColor="text1"/>
        </w:rPr>
        <w:t>. Se podrá consultar la página web del MGAP (</w:t>
      </w:r>
      <w:hyperlink r:id="rId5" w:history="1">
        <w:r w:rsidR="003245DA" w:rsidRPr="0018768F">
          <w:rPr>
            <w:rStyle w:val="Hipervnculo"/>
            <w:rFonts w:ascii="Arial" w:hAnsi="Arial" w:cs="Arial"/>
          </w:rPr>
          <w:t>www.mgap.gub.uy/noticias</w:t>
        </w:r>
      </w:hyperlink>
      <w:r w:rsidR="003245DA">
        <w:rPr>
          <w:rFonts w:ascii="Arial" w:hAnsi="Arial" w:cs="Arial"/>
          <w:color w:val="000000" w:themeColor="text1"/>
        </w:rPr>
        <w:t xml:space="preserve"> ) donde surgen todos los eventos en que participa esta cartera.</w:t>
      </w:r>
    </w:p>
    <w:p w14:paraId="369F3E2A" w14:textId="77777777" w:rsidR="00407C36" w:rsidRPr="00407C36" w:rsidRDefault="00407C36" w:rsidP="00407C36">
      <w:pPr>
        <w:pStyle w:val="Prrafodelista"/>
        <w:rPr>
          <w:rFonts w:ascii="Arial" w:hAnsi="Arial" w:cs="Arial"/>
          <w:color w:val="000000" w:themeColor="text1"/>
        </w:rPr>
      </w:pPr>
    </w:p>
    <w:p w14:paraId="16B1B70E" w14:textId="77952157" w:rsidR="00407C36" w:rsidRPr="00407C36" w:rsidRDefault="00407C36" w:rsidP="00407C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2C1AF3">
        <w:rPr>
          <w:rFonts w:ascii="Arial" w:hAnsi="Arial" w:cs="Arial"/>
          <w:b/>
          <w:i/>
          <w:u w:val="single"/>
          <w:lang w:val="es-UY"/>
        </w:rPr>
        <w:t xml:space="preserve">SE MODIFICA  EL NUMERAL </w:t>
      </w:r>
      <w:r>
        <w:rPr>
          <w:rFonts w:ascii="Arial" w:hAnsi="Arial" w:cs="Arial"/>
          <w:b/>
          <w:i/>
          <w:u w:val="single"/>
          <w:lang w:val="es-UY"/>
        </w:rPr>
        <w:t>1.3. de “</w:t>
      </w:r>
      <w:r w:rsidRPr="00407C36">
        <w:rPr>
          <w:rFonts w:ascii="Arial" w:hAnsi="Arial" w:cs="Arial"/>
          <w:b/>
          <w:i/>
          <w:u w:val="single"/>
          <w:lang w:val="es-UY"/>
        </w:rPr>
        <w:t>Capacidad para contratar – Consorcios” LA QUE QUEDARA REDACTADA DE LA SIGUIENTE FORMA:</w:t>
      </w:r>
      <w:r>
        <w:rPr>
          <w:rFonts w:eastAsia="Arial"/>
          <w:b/>
          <w:sz w:val="28"/>
          <w:szCs w:val="28"/>
        </w:rPr>
        <w:t xml:space="preserve"> “</w:t>
      </w:r>
      <w:r w:rsidRPr="00407C36">
        <w:rPr>
          <w:rFonts w:ascii="Arial" w:hAnsi="Arial" w:cs="Arial"/>
          <w:lang w:val="es-ES_tradnl"/>
        </w:rPr>
        <w:t>Por el solo hecho de presentarse en el presente llamado se considera que el oferente se encuentra en condiciones de contratar con el Estado conforme a lo establecido por el Art. 46 del TOCAF.</w:t>
      </w:r>
    </w:p>
    <w:p w14:paraId="3AC851D4" w14:textId="36E8B8D4" w:rsidR="00407C36" w:rsidRPr="00407C36" w:rsidRDefault="00407C36" w:rsidP="00407C36">
      <w:pPr>
        <w:pStyle w:val="Prrafodelista"/>
        <w:jc w:val="both"/>
        <w:rPr>
          <w:rFonts w:ascii="Arial" w:hAnsi="Arial" w:cs="Arial"/>
          <w:lang w:val="es-ES_tradnl"/>
        </w:rPr>
      </w:pPr>
      <w:r w:rsidRPr="00407C36">
        <w:rPr>
          <w:rFonts w:ascii="Arial" w:hAnsi="Arial" w:cs="Arial"/>
          <w:lang w:val="es-ES_tradnl"/>
        </w:rPr>
        <w:t>En caso que se presente un consorcio o empresas que manifieste</w:t>
      </w:r>
      <w:r>
        <w:rPr>
          <w:rFonts w:ascii="Arial" w:hAnsi="Arial" w:cs="Arial"/>
          <w:lang w:val="es-ES_tradnl"/>
        </w:rPr>
        <w:t>n</w:t>
      </w:r>
      <w:r w:rsidRPr="00407C36">
        <w:rPr>
          <w:rFonts w:ascii="Arial" w:hAnsi="Arial" w:cs="Arial"/>
          <w:lang w:val="es-ES_tradnl"/>
        </w:rPr>
        <w:t xml:space="preserve"> la intención de </w:t>
      </w:r>
      <w:proofErr w:type="spellStart"/>
      <w:r w:rsidRPr="00407C36">
        <w:rPr>
          <w:rFonts w:ascii="Arial" w:hAnsi="Arial" w:cs="Arial"/>
          <w:lang w:val="es-ES_tradnl"/>
        </w:rPr>
        <w:t>consorciarse</w:t>
      </w:r>
      <w:proofErr w:type="spellEnd"/>
      <w:r w:rsidRPr="00407C36">
        <w:rPr>
          <w:rFonts w:ascii="Arial" w:hAnsi="Arial" w:cs="Arial"/>
          <w:lang w:val="es-ES_tradnl"/>
        </w:rPr>
        <w:t>, no se requerirá</w:t>
      </w:r>
      <w:r>
        <w:rPr>
          <w:rFonts w:ascii="Arial" w:hAnsi="Arial" w:cs="Arial"/>
          <w:lang w:val="es-ES_tradnl"/>
        </w:rPr>
        <w:t>,</w:t>
      </w:r>
      <w:r w:rsidRPr="00407C36">
        <w:rPr>
          <w:rFonts w:ascii="Arial" w:hAnsi="Arial" w:cs="Arial"/>
          <w:lang w:val="es-ES_tradnl"/>
        </w:rPr>
        <w:t xml:space="preserve"> en oportunidad de la presentación de la oferta</w:t>
      </w:r>
      <w:r>
        <w:rPr>
          <w:rFonts w:ascii="Arial" w:hAnsi="Arial" w:cs="Arial"/>
          <w:lang w:val="es-ES_tradnl"/>
        </w:rPr>
        <w:t>,</w:t>
      </w:r>
      <w:r w:rsidRPr="00407C36">
        <w:rPr>
          <w:rFonts w:ascii="Arial" w:hAnsi="Arial" w:cs="Arial"/>
          <w:lang w:val="es-ES_tradnl"/>
        </w:rPr>
        <w:t xml:space="preserve"> que el </w:t>
      </w:r>
      <w:r>
        <w:rPr>
          <w:rFonts w:ascii="Arial" w:hAnsi="Arial" w:cs="Arial"/>
          <w:lang w:val="es-ES_tradnl"/>
        </w:rPr>
        <w:t>consorcio</w:t>
      </w:r>
      <w:r w:rsidRPr="00407C36">
        <w:rPr>
          <w:rFonts w:ascii="Arial" w:hAnsi="Arial" w:cs="Arial"/>
          <w:lang w:val="es-ES_tradnl"/>
        </w:rPr>
        <w:t xml:space="preserve"> esté inscripto ni publicado (ley 16.060 de 4/9/89). La inscripción y la publicación será obligatorio realizarlas en nuestro país y le será exigida a los adjudicatarios para el perfeccionamiento del contrato, de acuerdo a lo previsto </w:t>
      </w:r>
      <w:proofErr w:type="gramStart"/>
      <w:r w:rsidRPr="00407C36">
        <w:rPr>
          <w:rFonts w:ascii="Arial" w:hAnsi="Arial" w:cs="Arial"/>
          <w:lang w:val="es-ES_tradnl"/>
        </w:rPr>
        <w:t>por</w:t>
      </w:r>
      <w:proofErr w:type="gramEnd"/>
      <w:r w:rsidRPr="00407C36">
        <w:rPr>
          <w:rFonts w:ascii="Arial" w:hAnsi="Arial" w:cs="Arial"/>
          <w:lang w:val="es-ES_tradnl"/>
        </w:rPr>
        <w:t xml:space="preserve"> el Art. 69 del TOCAF. En la instancia de apertura se requerirá adjuntar a la oferta:</w:t>
      </w:r>
    </w:p>
    <w:p w14:paraId="31F7FF45" w14:textId="77777777" w:rsidR="00407C36" w:rsidRPr="00407C36" w:rsidRDefault="00407C36" w:rsidP="00407C36">
      <w:pPr>
        <w:pStyle w:val="Prrafodelista"/>
        <w:jc w:val="both"/>
        <w:rPr>
          <w:rFonts w:ascii="Arial" w:hAnsi="Arial" w:cs="Arial"/>
          <w:lang w:val="es-ES_tradnl"/>
        </w:rPr>
      </w:pPr>
      <w:r w:rsidRPr="00407C36">
        <w:rPr>
          <w:rFonts w:ascii="Arial" w:hAnsi="Arial" w:cs="Arial"/>
          <w:b/>
          <w:lang w:val="es-ES_tradnl"/>
        </w:rPr>
        <w:t>a)</w:t>
      </w:r>
      <w:r w:rsidRPr="00407C36">
        <w:rPr>
          <w:rFonts w:ascii="Arial" w:hAnsi="Arial" w:cs="Arial"/>
          <w:b/>
          <w:lang w:val="es-ES_tradnl"/>
        </w:rPr>
        <w:tab/>
      </w:r>
      <w:r w:rsidRPr="00407C36">
        <w:rPr>
          <w:rFonts w:ascii="Arial" w:hAnsi="Arial" w:cs="Arial"/>
          <w:lang w:val="es-ES_tradnl"/>
        </w:rPr>
        <w:t xml:space="preserve">Acta que exprese la intención de </w:t>
      </w:r>
      <w:proofErr w:type="spellStart"/>
      <w:r w:rsidRPr="00407C36">
        <w:rPr>
          <w:rFonts w:ascii="Arial" w:hAnsi="Arial" w:cs="Arial"/>
          <w:lang w:val="es-ES_tradnl"/>
        </w:rPr>
        <w:t>consorciarse</w:t>
      </w:r>
      <w:proofErr w:type="spellEnd"/>
      <w:r w:rsidRPr="00407C36">
        <w:rPr>
          <w:rFonts w:ascii="Arial" w:hAnsi="Arial" w:cs="Arial"/>
          <w:lang w:val="es-ES_tradnl"/>
        </w:rPr>
        <w:t>, con certificación notarial de firmas, detalle de los servicios que tomará a su cargo cada integrante del consorcio, así como las proporciones con que participará cada uno.</w:t>
      </w:r>
    </w:p>
    <w:p w14:paraId="1208B7F6" w14:textId="77777777" w:rsidR="00407C36" w:rsidRPr="00407C36" w:rsidRDefault="00407C36" w:rsidP="00407C36">
      <w:pPr>
        <w:pStyle w:val="Prrafodelista"/>
        <w:jc w:val="both"/>
        <w:rPr>
          <w:rFonts w:ascii="Arial" w:hAnsi="Arial" w:cs="Arial"/>
          <w:lang w:val="es-ES_tradnl"/>
        </w:rPr>
      </w:pPr>
      <w:r w:rsidRPr="00407C36">
        <w:rPr>
          <w:rFonts w:ascii="Arial" w:hAnsi="Arial" w:cs="Arial"/>
          <w:b/>
          <w:lang w:val="es-ES_tradnl"/>
        </w:rPr>
        <w:t>b)</w:t>
      </w:r>
      <w:r w:rsidRPr="00407C36">
        <w:rPr>
          <w:rFonts w:ascii="Arial" w:hAnsi="Arial" w:cs="Arial"/>
          <w:lang w:val="es-ES_tradnl"/>
        </w:rPr>
        <w:tab/>
        <w:t>Toda la información requerida en este pliego por cada uno de los miembros integrantes del consorcio.</w:t>
      </w:r>
    </w:p>
    <w:p w14:paraId="73860D30" w14:textId="190779DB" w:rsidR="00407C36" w:rsidRPr="00407C36" w:rsidRDefault="00407C36" w:rsidP="00407C36">
      <w:pPr>
        <w:pStyle w:val="Prrafodelista"/>
        <w:jc w:val="both"/>
        <w:rPr>
          <w:rFonts w:ascii="Arial" w:hAnsi="Arial" w:cs="Arial"/>
          <w:b/>
          <w:i/>
          <w:color w:val="000000" w:themeColor="text1"/>
          <w:u w:val="single"/>
          <w:lang w:val="es-ES_tradnl"/>
        </w:rPr>
      </w:pPr>
      <w:r w:rsidRPr="00407C36">
        <w:rPr>
          <w:rFonts w:ascii="Arial" w:hAnsi="Arial" w:cs="Arial"/>
          <w:b/>
          <w:lang w:val="es-ES_tradnl"/>
        </w:rPr>
        <w:t>c)</w:t>
      </w:r>
      <w:r w:rsidRPr="00407C36">
        <w:rPr>
          <w:rFonts w:ascii="Arial" w:hAnsi="Arial" w:cs="Arial"/>
          <w:lang w:val="es-ES_tradnl"/>
        </w:rPr>
        <w:tab/>
        <w:t xml:space="preserve">Designación de uno de los miembros como responsable autorizado para contraer obligaciones y recibir instrucciones para y en representación de todos y cada uno de los miembros integrantes del consorcio.  </w:t>
      </w:r>
      <w:r w:rsidRPr="00407C36">
        <w:rPr>
          <w:rFonts w:ascii="Arial" w:hAnsi="Arial" w:cs="Arial"/>
          <w:b/>
          <w:i/>
          <w:color w:val="000000" w:themeColor="text1"/>
          <w:u w:val="single"/>
          <w:lang w:val="es-ES_tradnl"/>
        </w:rPr>
        <w:t xml:space="preserve">El MGAP solo admitirá consorcios en que uno solo de sus miembros sea quien facture todo el contrato lo que se indicará a texto expreso en la oferta. </w:t>
      </w:r>
    </w:p>
    <w:p w14:paraId="78B4ECCF" w14:textId="2ED61973" w:rsidR="00407C36" w:rsidRPr="00407C36" w:rsidRDefault="00407C36" w:rsidP="00407C36">
      <w:pPr>
        <w:pStyle w:val="Prrafodelista"/>
        <w:jc w:val="both"/>
        <w:rPr>
          <w:rFonts w:ascii="Arial" w:hAnsi="Arial" w:cs="Arial"/>
          <w:lang w:val="es-ES_tradnl"/>
        </w:rPr>
      </w:pPr>
      <w:r w:rsidRPr="00407C36">
        <w:rPr>
          <w:rFonts w:ascii="Arial" w:hAnsi="Arial" w:cs="Arial"/>
          <w:b/>
          <w:lang w:val="es-ES_tradnl"/>
        </w:rPr>
        <w:t>d)</w:t>
      </w:r>
      <w:r w:rsidRPr="00407C36">
        <w:rPr>
          <w:rFonts w:ascii="Arial" w:hAnsi="Arial" w:cs="Arial"/>
          <w:lang w:val="es-ES_tradnl"/>
        </w:rPr>
        <w:tab/>
        <w:t>Constancia en el Acta de intención que cada uno de sus integrantes será solidariamente responsable para con la Administración de todas y cada una de las obligaciones contraídas en el marco del llamado.</w:t>
      </w:r>
    </w:p>
    <w:p w14:paraId="4FEDC380" w14:textId="77777777" w:rsidR="00407C36" w:rsidRDefault="00407C36" w:rsidP="00407C36">
      <w:pPr>
        <w:pStyle w:val="Prrafodelista"/>
        <w:jc w:val="both"/>
        <w:rPr>
          <w:rFonts w:ascii="Arial" w:hAnsi="Arial" w:cs="Arial"/>
          <w:lang w:val="es-ES_tradnl"/>
        </w:rPr>
      </w:pPr>
      <w:r w:rsidRPr="00407C36">
        <w:rPr>
          <w:rFonts w:ascii="Arial" w:hAnsi="Arial" w:cs="Arial"/>
          <w:b/>
          <w:lang w:val="es-ES_tradnl"/>
        </w:rPr>
        <w:t>e)</w:t>
      </w:r>
      <w:r w:rsidRPr="00407C36">
        <w:rPr>
          <w:rFonts w:ascii="Arial" w:hAnsi="Arial" w:cs="Arial"/>
          <w:lang w:val="es-ES_tradnl"/>
        </w:rPr>
        <w:tab/>
        <w:t>Expresar la indivisibilidad de las obligaciones contraídas ante la Administración y la no modificación del acta o contrato, sin la previa autorización de ésta.</w:t>
      </w:r>
    </w:p>
    <w:p w14:paraId="2BEF9757" w14:textId="77777777" w:rsidR="00B913A1" w:rsidRDefault="00B913A1" w:rsidP="00407C36">
      <w:pPr>
        <w:pStyle w:val="Prrafodelista"/>
        <w:jc w:val="both"/>
        <w:rPr>
          <w:rFonts w:ascii="Arial" w:hAnsi="Arial" w:cs="Arial"/>
          <w:lang w:val="es-ES_tradnl"/>
        </w:rPr>
      </w:pPr>
    </w:p>
    <w:p w14:paraId="55994F8B" w14:textId="798F942D" w:rsidR="00B913A1" w:rsidRDefault="00B913A1" w:rsidP="00B913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MGAP designará un referente que lo represente conforme a lo dispuesto por el numeral </w:t>
      </w:r>
      <w:r w:rsidRPr="00B913A1">
        <w:rPr>
          <w:rFonts w:ascii="Arial" w:hAnsi="Arial" w:cs="Arial"/>
          <w:b/>
        </w:rPr>
        <w:t xml:space="preserve">1.5. de “Funcionamiento Orgánico” </w:t>
      </w:r>
      <w:r>
        <w:rPr>
          <w:rFonts w:ascii="Arial" w:hAnsi="Arial" w:cs="Arial"/>
        </w:rPr>
        <w:t xml:space="preserve">del Pliego. </w:t>
      </w:r>
    </w:p>
    <w:p w14:paraId="59C70E60" w14:textId="77777777" w:rsidR="00B913A1" w:rsidRDefault="00B913A1" w:rsidP="00B913A1">
      <w:pPr>
        <w:pStyle w:val="Prrafodelista"/>
        <w:jc w:val="both"/>
        <w:rPr>
          <w:rFonts w:ascii="Arial" w:hAnsi="Arial" w:cs="Arial"/>
        </w:rPr>
      </w:pPr>
    </w:p>
    <w:p w14:paraId="2C0E4398" w14:textId="1CC114F8" w:rsidR="00E06C9F" w:rsidRDefault="002674B8" w:rsidP="00267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81133">
        <w:rPr>
          <w:rFonts w:ascii="Arial" w:hAnsi="Arial" w:cs="Arial"/>
        </w:rPr>
        <w:lastRenderedPageBreak/>
        <w:t>S</w:t>
      </w:r>
      <w:r w:rsidR="0022158F" w:rsidRPr="00E81133">
        <w:rPr>
          <w:rFonts w:ascii="Arial" w:hAnsi="Arial" w:cs="Arial"/>
        </w:rPr>
        <w:t>obre la obligación de la empresa adjudicataria de designar un supervisor externo</w:t>
      </w:r>
      <w:r w:rsidR="006D6F05">
        <w:rPr>
          <w:rFonts w:ascii="Arial" w:hAnsi="Arial" w:cs="Arial"/>
        </w:rPr>
        <w:t xml:space="preserve"> prevista en el </w:t>
      </w:r>
      <w:r w:rsidR="006D6F05" w:rsidRPr="006D6F05">
        <w:rPr>
          <w:rFonts w:ascii="Arial" w:hAnsi="Arial" w:cs="Arial"/>
          <w:b/>
        </w:rPr>
        <w:t>numeral 1.6. de “Supervisión y Respuesta a Eventos”</w:t>
      </w:r>
      <w:r w:rsidR="0022158F" w:rsidRPr="00E81133">
        <w:rPr>
          <w:rFonts w:ascii="Arial" w:hAnsi="Arial" w:cs="Arial"/>
        </w:rPr>
        <w:t xml:space="preserve">, se </w:t>
      </w:r>
      <w:r w:rsidR="00122318" w:rsidRPr="00E81133">
        <w:rPr>
          <w:rFonts w:ascii="Arial" w:hAnsi="Arial" w:cs="Arial"/>
        </w:rPr>
        <w:t xml:space="preserve">entiende </w:t>
      </w:r>
      <w:r w:rsidR="0022158F" w:rsidRPr="00E81133">
        <w:rPr>
          <w:rFonts w:ascii="Arial" w:hAnsi="Arial" w:cs="Arial"/>
        </w:rPr>
        <w:t xml:space="preserve">que la empresa adjudicataria </w:t>
      </w:r>
      <w:r w:rsidR="00122318" w:rsidRPr="00E81133">
        <w:rPr>
          <w:rFonts w:ascii="Arial" w:hAnsi="Arial" w:cs="Arial"/>
        </w:rPr>
        <w:t xml:space="preserve">debe </w:t>
      </w:r>
      <w:r w:rsidR="0022158F" w:rsidRPr="00E81133">
        <w:rPr>
          <w:rFonts w:ascii="Arial" w:hAnsi="Arial" w:cs="Arial"/>
        </w:rPr>
        <w:t>designar un interlocutor válido, ajeno a la Administración, que controle el cumplimiento de los cometidos asumidos en la contratación y operará de nexo con el MGAP.</w:t>
      </w:r>
      <w:r w:rsidR="009619B5" w:rsidRPr="00E81133">
        <w:rPr>
          <w:rFonts w:ascii="Arial" w:hAnsi="Arial" w:cs="Arial"/>
        </w:rPr>
        <w:t xml:space="preserve"> No es necesario que sea Escribano ni refiere a registro audiovisual.</w:t>
      </w:r>
    </w:p>
    <w:p w14:paraId="34ECE1BE" w14:textId="77777777" w:rsidR="00407C36" w:rsidRDefault="00407C36" w:rsidP="00407C36">
      <w:pPr>
        <w:pStyle w:val="Prrafodelista"/>
        <w:jc w:val="both"/>
        <w:rPr>
          <w:rFonts w:ascii="Arial" w:hAnsi="Arial" w:cs="Arial"/>
        </w:rPr>
      </w:pPr>
    </w:p>
    <w:p w14:paraId="6CDD3ABC" w14:textId="77777777" w:rsidR="00407C36" w:rsidRPr="00F42EF5" w:rsidRDefault="00407C36" w:rsidP="00407C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D76CA">
        <w:rPr>
          <w:rFonts w:ascii="Arial" w:hAnsi="Arial" w:cs="Arial"/>
          <w:b/>
          <w:i/>
          <w:u w:val="single"/>
        </w:rPr>
        <w:t>SE ADVIERTE QUE:</w:t>
      </w:r>
      <w:r w:rsidRPr="00F42EF5">
        <w:rPr>
          <w:rFonts w:ascii="Arial" w:hAnsi="Arial" w:cs="Arial"/>
        </w:rPr>
        <w:t xml:space="preserve"> Los estudios entregados por el MGAP a los compradores del pliego forman parte de los </w:t>
      </w:r>
      <w:r w:rsidRPr="00623BEA">
        <w:rPr>
          <w:rFonts w:ascii="Arial" w:hAnsi="Arial" w:cs="Arial"/>
        </w:rPr>
        <w:t xml:space="preserve">declarados como </w:t>
      </w:r>
      <w:r w:rsidRPr="00AD2F15">
        <w:rPr>
          <w:rFonts w:ascii="Arial" w:hAnsi="Arial" w:cs="Arial"/>
          <w:b/>
          <w:u w:val="single"/>
        </w:rPr>
        <w:t xml:space="preserve">reservados </w:t>
      </w:r>
      <w:r w:rsidRPr="00F42EF5">
        <w:rPr>
          <w:rFonts w:ascii="Arial" w:hAnsi="Arial" w:cs="Arial"/>
        </w:rPr>
        <w:t>conforme a la Resolución Ministerial Nº 1188 de 26 de diciembre de 2016.</w:t>
      </w:r>
    </w:p>
    <w:p w14:paraId="7E233DAC" w14:textId="61D7A2A8" w:rsidR="00407C36" w:rsidRDefault="00407C36" w:rsidP="00407C3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conforme a lo previsto en el </w:t>
      </w:r>
      <w:r>
        <w:rPr>
          <w:rFonts w:ascii="Arial" w:hAnsi="Arial" w:cs="Arial"/>
          <w:b/>
        </w:rPr>
        <w:t>numeral</w:t>
      </w:r>
      <w:r w:rsidRPr="00AB1D2F">
        <w:rPr>
          <w:rFonts w:ascii="Arial" w:hAnsi="Arial" w:cs="Arial"/>
          <w:b/>
        </w:rPr>
        <w:t xml:space="preserve"> 1.13.</w:t>
      </w:r>
      <w:r>
        <w:rPr>
          <w:rFonts w:ascii="Arial" w:hAnsi="Arial" w:cs="Arial"/>
          <w:b/>
        </w:rPr>
        <w:t xml:space="preserve"> </w:t>
      </w:r>
      <w:proofErr w:type="gramStart"/>
      <w:r w:rsidRPr="00AB1D2F">
        <w:rPr>
          <w:rFonts w:ascii="Arial" w:hAnsi="Arial" w:cs="Arial"/>
          <w:b/>
        </w:rPr>
        <w:t>de</w:t>
      </w:r>
      <w:proofErr w:type="gramEnd"/>
      <w:r w:rsidRPr="00AB1D2F">
        <w:rPr>
          <w:rFonts w:ascii="Arial" w:hAnsi="Arial" w:cs="Arial"/>
          <w:b/>
        </w:rPr>
        <w:t xml:space="preserve"> “Confidencialidad y Reserva” </w:t>
      </w:r>
      <w:r>
        <w:rPr>
          <w:rFonts w:ascii="Arial" w:hAnsi="Arial" w:cs="Arial"/>
        </w:rPr>
        <w:t xml:space="preserve"> </w:t>
      </w:r>
      <w:r w:rsidRPr="00623BEA">
        <w:rPr>
          <w:rFonts w:ascii="Arial" w:hAnsi="Arial" w:cs="Arial"/>
        </w:rPr>
        <w:t xml:space="preserve">previsto en el pliego, </w:t>
      </w:r>
      <w:r>
        <w:rPr>
          <w:rFonts w:ascii="Arial" w:hAnsi="Arial" w:cs="Arial"/>
        </w:rPr>
        <w:t>los interesados, una vez adquiridos, se comprometen a su no divulgación</w:t>
      </w:r>
    </w:p>
    <w:p w14:paraId="2901E799" w14:textId="77777777" w:rsidR="00407C36" w:rsidRDefault="00407C36" w:rsidP="00407C3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se encuentra afectado a la no divulgación todo lo previsto en el ANEXO 2 de “</w:t>
      </w:r>
      <w:r w:rsidRPr="00F42EF5">
        <w:rPr>
          <w:rFonts w:ascii="Arial" w:hAnsi="Arial" w:cs="Arial"/>
        </w:rPr>
        <w:t>Compromiso de no divulgación</w:t>
      </w:r>
      <w:r>
        <w:rPr>
          <w:rFonts w:ascii="Arial" w:hAnsi="Arial" w:cs="Arial"/>
        </w:rPr>
        <w:t xml:space="preserve">”. </w:t>
      </w:r>
    </w:p>
    <w:p w14:paraId="491E92A7" w14:textId="77777777" w:rsidR="00407C36" w:rsidRPr="00F42EF5" w:rsidRDefault="00407C36" w:rsidP="00407C3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42EF5">
        <w:rPr>
          <w:rFonts w:ascii="Arial" w:hAnsi="Arial" w:cs="Arial"/>
        </w:rPr>
        <w:t xml:space="preserve">olicitar a los medios una tarifa de licitación para realizar la propuesta técnica del plan, no compromete </w:t>
      </w:r>
      <w:r>
        <w:rPr>
          <w:rFonts w:ascii="Arial" w:hAnsi="Arial" w:cs="Arial"/>
        </w:rPr>
        <w:t>dicho ANEXO</w:t>
      </w:r>
      <w:r w:rsidRPr="00F42EF5">
        <w:rPr>
          <w:rFonts w:ascii="Arial" w:hAnsi="Arial" w:cs="Arial"/>
        </w:rPr>
        <w:t xml:space="preserve"> 2. </w:t>
      </w:r>
    </w:p>
    <w:p w14:paraId="3A43D810" w14:textId="77777777" w:rsidR="00122318" w:rsidRDefault="00122318" w:rsidP="00122318">
      <w:pPr>
        <w:pStyle w:val="Prrafodelista"/>
        <w:rPr>
          <w:rFonts w:ascii="Arial" w:hAnsi="Arial" w:cs="Arial"/>
        </w:rPr>
      </w:pPr>
    </w:p>
    <w:p w14:paraId="0736FFF0" w14:textId="77777777" w:rsidR="00E81133" w:rsidRDefault="00E81133" w:rsidP="00122318">
      <w:pPr>
        <w:pStyle w:val="Prrafodelista"/>
        <w:rPr>
          <w:rFonts w:ascii="Arial" w:hAnsi="Arial" w:cs="Arial"/>
        </w:rPr>
      </w:pPr>
    </w:p>
    <w:p w14:paraId="23F1E23B" w14:textId="77777777" w:rsidR="00467F4F" w:rsidRPr="00E81133" w:rsidRDefault="00467F4F" w:rsidP="00467F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C1AF3">
        <w:rPr>
          <w:rFonts w:ascii="Arial" w:hAnsi="Arial" w:cs="Arial"/>
          <w:b/>
          <w:i/>
          <w:u w:val="single"/>
          <w:lang w:val="es-UY"/>
        </w:rPr>
        <w:t xml:space="preserve">SE MODIFICA  EL NUMERAL 2 </w:t>
      </w:r>
      <w:r>
        <w:rPr>
          <w:rFonts w:ascii="Arial" w:hAnsi="Arial" w:cs="Arial"/>
          <w:b/>
          <w:i/>
          <w:u w:val="single"/>
          <w:lang w:val="es-UY"/>
        </w:rPr>
        <w:t>de “PLAZO”,</w:t>
      </w:r>
      <w:r w:rsidRPr="006D6F05">
        <w:rPr>
          <w:rFonts w:ascii="Arial" w:hAnsi="Arial" w:cs="Arial"/>
          <w:b/>
          <w:i/>
          <w:u w:val="single"/>
          <w:lang w:val="es-UY"/>
        </w:rPr>
        <w:t xml:space="preserve"> </w:t>
      </w:r>
      <w:r w:rsidRPr="002C1AF3">
        <w:rPr>
          <w:rFonts w:ascii="Arial" w:hAnsi="Arial" w:cs="Arial"/>
          <w:b/>
          <w:i/>
          <w:u w:val="single"/>
          <w:lang w:val="es-UY"/>
        </w:rPr>
        <w:t>EL QUE QUEDARÁ REDACTADO DE LA SIGUIENTE FORMA:</w:t>
      </w:r>
      <w:r w:rsidRPr="006D6F05">
        <w:rPr>
          <w:rFonts w:ascii="Arial" w:hAnsi="Arial" w:cs="Arial"/>
          <w:lang w:val="es-UY"/>
        </w:rPr>
        <w:t xml:space="preserve"> </w:t>
      </w:r>
      <w:r w:rsidRPr="00DF66B9">
        <w:rPr>
          <w:rFonts w:ascii="Arial" w:hAnsi="Arial" w:cs="Arial"/>
          <w:lang w:val="es-UY"/>
        </w:rPr>
        <w:t xml:space="preserve">El plazo del </w:t>
      </w:r>
      <w:r>
        <w:rPr>
          <w:rFonts w:ascii="Arial" w:hAnsi="Arial" w:cs="Arial"/>
          <w:lang w:val="es-UY"/>
        </w:rPr>
        <w:t>contrato</w:t>
      </w:r>
      <w:r w:rsidRPr="00DF66B9">
        <w:rPr>
          <w:rFonts w:ascii="Arial" w:hAnsi="Arial" w:cs="Arial"/>
          <w:lang w:val="es-UY"/>
        </w:rPr>
        <w:t xml:space="preserve"> será de </w:t>
      </w:r>
      <w:r>
        <w:rPr>
          <w:rFonts w:ascii="Arial" w:hAnsi="Arial" w:cs="Arial"/>
          <w:lang w:val="es-UY"/>
        </w:rPr>
        <w:t>dos</w:t>
      </w:r>
      <w:r w:rsidRPr="00DF66B9">
        <w:rPr>
          <w:rFonts w:ascii="Arial" w:hAnsi="Arial" w:cs="Arial"/>
          <w:lang w:val="es-UY"/>
        </w:rPr>
        <w:t xml:space="preserve"> (</w:t>
      </w:r>
      <w:r>
        <w:rPr>
          <w:rFonts w:ascii="Arial" w:hAnsi="Arial" w:cs="Arial"/>
          <w:lang w:val="es-UY"/>
        </w:rPr>
        <w:t>dos</w:t>
      </w:r>
      <w:r w:rsidRPr="00DF66B9">
        <w:rPr>
          <w:rFonts w:ascii="Arial" w:hAnsi="Arial" w:cs="Arial"/>
          <w:lang w:val="es-UY"/>
        </w:rPr>
        <w:t>) año</w:t>
      </w:r>
      <w:r>
        <w:rPr>
          <w:rFonts w:ascii="Arial" w:hAnsi="Arial" w:cs="Arial"/>
          <w:lang w:val="es-UY"/>
        </w:rPr>
        <w:t>s</w:t>
      </w:r>
      <w:r w:rsidRPr="00DF66B9">
        <w:rPr>
          <w:rFonts w:ascii="Arial" w:hAnsi="Arial" w:cs="Arial"/>
          <w:lang w:val="es-UY"/>
        </w:rPr>
        <w:t>, contado</w:t>
      </w:r>
      <w:r>
        <w:rPr>
          <w:rFonts w:ascii="Arial" w:hAnsi="Arial" w:cs="Arial"/>
          <w:lang w:val="es-UY"/>
        </w:rPr>
        <w:t>s</w:t>
      </w:r>
      <w:r w:rsidRPr="00DF66B9">
        <w:rPr>
          <w:rFonts w:ascii="Arial" w:hAnsi="Arial" w:cs="Arial"/>
          <w:lang w:val="es-UY"/>
        </w:rPr>
        <w:t xml:space="preserve"> a partir de la notificación de la resolución de adjudicación y una vez </w:t>
      </w:r>
      <w:r>
        <w:rPr>
          <w:rFonts w:ascii="Arial" w:hAnsi="Arial" w:cs="Arial"/>
          <w:lang w:val="es-UY"/>
        </w:rPr>
        <w:t>que la misma haya quedado firme.</w:t>
      </w:r>
    </w:p>
    <w:p w14:paraId="1C7A894C" w14:textId="77777777" w:rsidR="00467F4F" w:rsidRPr="00122318" w:rsidRDefault="00467F4F" w:rsidP="00122318">
      <w:pPr>
        <w:pStyle w:val="Prrafodelista"/>
        <w:rPr>
          <w:rFonts w:ascii="Arial" w:hAnsi="Arial" w:cs="Arial"/>
        </w:rPr>
      </w:pPr>
    </w:p>
    <w:p w14:paraId="3213C457" w14:textId="030447E3" w:rsidR="002674B8" w:rsidRPr="006D6F05" w:rsidRDefault="00E81133" w:rsidP="006051B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C1AF3">
        <w:rPr>
          <w:rFonts w:ascii="Arial" w:hAnsi="Arial" w:cs="Arial"/>
          <w:b/>
          <w:i/>
          <w:u w:val="single"/>
          <w:lang w:val="es-UY"/>
        </w:rPr>
        <w:t xml:space="preserve">SE MODIFICA  EL NUMERAL </w:t>
      </w:r>
      <w:r w:rsidR="006D6F05">
        <w:rPr>
          <w:rFonts w:ascii="Arial" w:hAnsi="Arial" w:cs="Arial"/>
          <w:b/>
          <w:i/>
          <w:u w:val="single"/>
          <w:lang w:val="es-UY"/>
        </w:rPr>
        <w:t>3</w:t>
      </w:r>
      <w:r w:rsidRPr="002C1AF3">
        <w:rPr>
          <w:rFonts w:ascii="Arial" w:hAnsi="Arial" w:cs="Arial"/>
          <w:b/>
          <w:i/>
          <w:u w:val="single"/>
          <w:lang w:val="es-UY"/>
        </w:rPr>
        <w:t xml:space="preserve"> </w:t>
      </w:r>
      <w:r w:rsidR="006D6F05">
        <w:rPr>
          <w:rFonts w:ascii="Arial" w:hAnsi="Arial" w:cs="Arial"/>
          <w:b/>
          <w:i/>
          <w:u w:val="single"/>
          <w:lang w:val="es-UY"/>
        </w:rPr>
        <w:t xml:space="preserve">de “INVERSIÓN” </w:t>
      </w:r>
      <w:r w:rsidRPr="002C1AF3">
        <w:rPr>
          <w:rFonts w:ascii="Arial" w:hAnsi="Arial" w:cs="Arial"/>
          <w:b/>
          <w:i/>
          <w:u w:val="single"/>
          <w:lang w:val="es-UY"/>
        </w:rPr>
        <w:t>DEL PLIEGO DE CONDICIONES PUBLICADO, EL QUE QUEDARÁ REDACTADO DE LA SIGUIENTE FORMA:</w:t>
      </w:r>
      <w:r>
        <w:rPr>
          <w:rFonts w:ascii="Arial" w:hAnsi="Arial" w:cs="Arial"/>
          <w:lang w:val="es-UY"/>
        </w:rPr>
        <w:t xml:space="preserve"> </w:t>
      </w:r>
      <w:r w:rsidR="00122318" w:rsidRPr="00E81133">
        <w:rPr>
          <w:rFonts w:ascii="Arial" w:hAnsi="Arial" w:cs="Arial"/>
          <w:lang w:val="es-UY"/>
        </w:rPr>
        <w:t>El monto total de inversión previsto para la contratación objeto de este llamado es de hasta sesenta</w:t>
      </w:r>
      <w:r w:rsidR="002C1AF3">
        <w:rPr>
          <w:rFonts w:ascii="Arial" w:hAnsi="Arial" w:cs="Arial"/>
          <w:lang w:val="es-UY"/>
        </w:rPr>
        <w:t xml:space="preserve"> </w:t>
      </w:r>
      <w:r w:rsidR="00122318" w:rsidRPr="00E81133">
        <w:rPr>
          <w:rFonts w:ascii="Arial" w:hAnsi="Arial" w:cs="Arial"/>
          <w:lang w:val="es-UY"/>
        </w:rPr>
        <w:t>millones de pesos moneda nacional ($60:000.000</w:t>
      </w:r>
      <w:r w:rsidRPr="00E81133">
        <w:rPr>
          <w:rFonts w:ascii="Arial" w:hAnsi="Arial" w:cs="Arial"/>
          <w:lang w:val="es-UY"/>
        </w:rPr>
        <w:t>).</w:t>
      </w:r>
    </w:p>
    <w:p w14:paraId="56468BA2" w14:textId="77777777" w:rsidR="006D6F05" w:rsidRPr="006D6F05" w:rsidRDefault="006D6F05" w:rsidP="006D6F05">
      <w:pPr>
        <w:pStyle w:val="Prrafodelista"/>
        <w:jc w:val="both"/>
        <w:rPr>
          <w:rFonts w:ascii="Arial" w:hAnsi="Arial" w:cs="Arial"/>
        </w:rPr>
      </w:pPr>
    </w:p>
    <w:p w14:paraId="3B600550" w14:textId="5C5D41DB" w:rsidR="00A34259" w:rsidRDefault="006D6F05" w:rsidP="00623B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Pr="006D6F05">
        <w:rPr>
          <w:rFonts w:ascii="Arial" w:hAnsi="Arial" w:cs="Arial"/>
          <w:b/>
        </w:rPr>
        <w:t>numeral 8.2.1. de “Sobre Nº 1 – Antecedentes y Propuesta Publicitaria”,</w:t>
      </w:r>
      <w:r>
        <w:rPr>
          <w:rFonts w:ascii="Arial" w:hAnsi="Arial" w:cs="Arial"/>
        </w:rPr>
        <w:t xml:space="preserve"> d</w:t>
      </w:r>
      <w:r w:rsidR="002674B8" w:rsidRPr="00CB6CE9">
        <w:rPr>
          <w:rFonts w:ascii="Arial" w:hAnsi="Arial" w:cs="Arial"/>
        </w:rPr>
        <w:t>onde se establece que en el detalle de la Estructura de la Agencia se deberá detallar el número de empleados con</w:t>
      </w:r>
      <w:r w:rsidR="00623BEA" w:rsidRPr="00CB6CE9">
        <w:rPr>
          <w:rFonts w:ascii="Arial" w:hAnsi="Arial" w:cs="Arial"/>
        </w:rPr>
        <w:t xml:space="preserve"> copia de sus </w:t>
      </w:r>
      <w:proofErr w:type="spellStart"/>
      <w:r w:rsidR="00623BEA" w:rsidRPr="00CB6CE9">
        <w:rPr>
          <w:rFonts w:ascii="Arial" w:hAnsi="Arial" w:cs="Arial"/>
        </w:rPr>
        <w:t>curriculums</w:t>
      </w:r>
      <w:proofErr w:type="spellEnd"/>
      <w:r w:rsidR="00623BEA" w:rsidRPr="00CB6CE9">
        <w:rPr>
          <w:rFonts w:ascii="Arial" w:hAnsi="Arial" w:cs="Arial"/>
        </w:rPr>
        <w:t xml:space="preserve"> vitae, la </w:t>
      </w:r>
      <w:r w:rsidR="00971B40" w:rsidRPr="00CB6CE9">
        <w:rPr>
          <w:rFonts w:ascii="Arial" w:hAnsi="Arial" w:cs="Arial"/>
        </w:rPr>
        <w:t>acredita</w:t>
      </w:r>
      <w:r w:rsidR="00623BEA" w:rsidRPr="00CB6CE9">
        <w:rPr>
          <w:rFonts w:ascii="Arial" w:hAnsi="Arial" w:cs="Arial"/>
        </w:rPr>
        <w:t>ción de</w:t>
      </w:r>
      <w:r w:rsidR="00971B40" w:rsidRPr="00CB6CE9">
        <w:rPr>
          <w:rFonts w:ascii="Arial" w:hAnsi="Arial" w:cs="Arial"/>
        </w:rPr>
        <w:t xml:space="preserve"> </w:t>
      </w:r>
      <w:r w:rsidR="00623BEA" w:rsidRPr="00CB6CE9">
        <w:rPr>
          <w:rFonts w:ascii="Arial" w:hAnsi="Arial" w:cs="Arial"/>
        </w:rPr>
        <w:t xml:space="preserve">los títulos que se relacionen se deberá cumplir </w:t>
      </w:r>
      <w:r w:rsidR="002674B8" w:rsidRPr="00CB6CE9">
        <w:rPr>
          <w:rFonts w:ascii="Arial" w:hAnsi="Arial" w:cs="Arial"/>
        </w:rPr>
        <w:t>con testimonio notarial por exhibición</w:t>
      </w:r>
      <w:r w:rsidR="00971B40" w:rsidRPr="00CB6CE9">
        <w:rPr>
          <w:rFonts w:ascii="Arial" w:hAnsi="Arial" w:cs="Arial"/>
        </w:rPr>
        <w:t>.</w:t>
      </w:r>
      <w:r w:rsidR="002674B8" w:rsidRPr="00CB6CE9">
        <w:rPr>
          <w:rFonts w:ascii="Arial" w:hAnsi="Arial" w:cs="Arial"/>
        </w:rPr>
        <w:t xml:space="preserve"> </w:t>
      </w:r>
    </w:p>
    <w:p w14:paraId="4593A3B7" w14:textId="77777777" w:rsidR="00C356A6" w:rsidRPr="00C356A6" w:rsidRDefault="00C356A6" w:rsidP="00C356A6">
      <w:pPr>
        <w:pStyle w:val="Prrafodelista"/>
        <w:rPr>
          <w:rFonts w:ascii="Arial" w:hAnsi="Arial" w:cs="Arial"/>
        </w:rPr>
      </w:pPr>
    </w:p>
    <w:p w14:paraId="412888AA" w14:textId="77A5ED31" w:rsidR="00C356A6" w:rsidRPr="00FC519D" w:rsidRDefault="00C356A6" w:rsidP="00C356A6">
      <w:pPr>
        <w:pStyle w:val="Prrafodelist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Tal como se </w:t>
      </w:r>
      <w:r w:rsidRPr="00000B16">
        <w:rPr>
          <w:rFonts w:ascii="Arial" w:hAnsi="Arial" w:cs="Arial"/>
          <w:b/>
          <w:color w:val="000000" w:themeColor="text1"/>
        </w:rPr>
        <w:t>establece en este numeral</w:t>
      </w:r>
      <w:r w:rsidRPr="00000B16">
        <w:rPr>
          <w:rFonts w:ascii="Arial" w:hAnsi="Arial" w:cs="Arial"/>
          <w:b/>
          <w:color w:val="000000" w:themeColor="text1"/>
        </w:rPr>
        <w:t xml:space="preserve"> y en el 10</w:t>
      </w:r>
      <w:r w:rsidR="00000B16" w:rsidRPr="00000B16">
        <w:rPr>
          <w:rFonts w:ascii="Arial" w:hAnsi="Arial" w:cs="Arial"/>
          <w:b/>
          <w:color w:val="000000" w:themeColor="text1"/>
        </w:rPr>
        <w:t>.2.</w:t>
      </w:r>
      <w:r w:rsidRPr="00000B1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Pr="00000B16">
        <w:rPr>
          <w:rFonts w:ascii="Arial" w:hAnsi="Arial" w:cs="Arial"/>
          <w:b/>
          <w:color w:val="000000" w:themeColor="text1"/>
        </w:rPr>
        <w:t>de</w:t>
      </w:r>
      <w:proofErr w:type="gramEnd"/>
      <w:r w:rsidRPr="00000B16">
        <w:rPr>
          <w:rFonts w:ascii="Arial" w:hAnsi="Arial" w:cs="Arial"/>
          <w:b/>
          <w:color w:val="000000" w:themeColor="text1"/>
        </w:rPr>
        <w:t xml:space="preserve"> “ESTUDIO DE OFERTAS (Sobre Nº 1) C</w:t>
      </w:r>
      <w:r w:rsidR="00000B16" w:rsidRPr="00000B16">
        <w:rPr>
          <w:rFonts w:ascii="Arial" w:hAnsi="Arial" w:cs="Arial"/>
          <w:b/>
          <w:color w:val="000000" w:themeColor="text1"/>
        </w:rPr>
        <w:t>omparación de ofertas admisibles – criterios de evaluación del Sobre Nº 1”</w:t>
      </w:r>
      <w:r>
        <w:rPr>
          <w:rFonts w:ascii="Arial" w:hAnsi="Arial" w:cs="Arial"/>
          <w:color w:val="000000" w:themeColor="text1"/>
        </w:rPr>
        <w:t xml:space="preserve"> toda la documentación probatoria deberá ser fehaciente y veraz y presentarse conjuntamente con la oferta para su consideración</w:t>
      </w:r>
      <w:r w:rsidR="00000B16">
        <w:rPr>
          <w:rFonts w:ascii="Arial" w:hAnsi="Arial" w:cs="Arial"/>
          <w:color w:val="000000" w:themeColor="text1"/>
        </w:rPr>
        <w:t>, t</w:t>
      </w:r>
      <w:r>
        <w:rPr>
          <w:rFonts w:ascii="Arial" w:hAnsi="Arial" w:cs="Arial"/>
          <w:color w:val="000000" w:themeColor="text1"/>
        </w:rPr>
        <w:t>odo ello contempla</w:t>
      </w:r>
      <w:r w:rsidR="000F2BAA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do el Artículo 8 del Decreto Nº 351/007 de 20 de setiembre de 2007.</w:t>
      </w:r>
    </w:p>
    <w:p w14:paraId="0DC7D06D" w14:textId="77777777" w:rsidR="00C356A6" w:rsidRPr="00CB6CE9" w:rsidRDefault="00C356A6" w:rsidP="00C356A6">
      <w:pPr>
        <w:pStyle w:val="Prrafodelista"/>
        <w:jc w:val="both"/>
        <w:rPr>
          <w:rFonts w:ascii="Arial" w:hAnsi="Arial" w:cs="Arial"/>
        </w:rPr>
      </w:pPr>
    </w:p>
    <w:p w14:paraId="6DB8A161" w14:textId="77777777" w:rsidR="00623BEA" w:rsidRDefault="00623BEA" w:rsidP="00467F4F">
      <w:pPr>
        <w:pStyle w:val="Prrafodelista"/>
        <w:jc w:val="both"/>
        <w:rPr>
          <w:rFonts w:ascii="Arial" w:hAnsi="Arial" w:cs="Arial"/>
        </w:rPr>
      </w:pPr>
    </w:p>
    <w:p w14:paraId="5F1405D7" w14:textId="25E88A0C" w:rsidR="00467F4F" w:rsidRDefault="00467F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04C74C" w14:textId="77777777" w:rsidR="00623BEA" w:rsidRPr="00A34259" w:rsidRDefault="00623BEA" w:rsidP="00467F4F">
      <w:pPr>
        <w:pStyle w:val="Prrafodelista"/>
        <w:jc w:val="both"/>
        <w:rPr>
          <w:rFonts w:ascii="Arial" w:hAnsi="Arial" w:cs="Arial"/>
        </w:rPr>
      </w:pPr>
    </w:p>
    <w:p w14:paraId="1E30EFD6" w14:textId="750D09F8" w:rsidR="00A34259" w:rsidRPr="00467F4F" w:rsidRDefault="006D6F05" w:rsidP="00467F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67F4F">
        <w:rPr>
          <w:rFonts w:ascii="Arial" w:hAnsi="Arial" w:cs="Arial"/>
          <w:b/>
          <w:i/>
          <w:u w:val="single"/>
          <w:lang w:val="es-UY"/>
        </w:rPr>
        <w:t>SE MODIFICA  LA PLANILLA DE COTIZACIÓN INCLUIDA EN EL NUMERAL 8.2.2. de “SOBRE Nº 2- Propuesta Económica, Precio y Cotización”, POR LA SIGUIENTE:</w:t>
      </w:r>
    </w:p>
    <w:p w14:paraId="566D9957" w14:textId="77777777" w:rsidR="00535D8E" w:rsidRPr="00467F4F" w:rsidRDefault="00535D8E" w:rsidP="00467F4F">
      <w:pPr>
        <w:pStyle w:val="Textoindependiente"/>
        <w:ind w:right="-1"/>
        <w:jc w:val="center"/>
        <w:rPr>
          <w:rFonts w:ascii="Calibri" w:hAnsi="Calibri" w:cs="Calibri"/>
          <w:sz w:val="28"/>
          <w:szCs w:val="28"/>
        </w:rPr>
      </w:pPr>
      <w:r w:rsidRPr="00467F4F">
        <w:rPr>
          <w:rFonts w:ascii="Calibri" w:hAnsi="Calibri" w:cs="Calibri"/>
          <w:b/>
          <w:i/>
          <w:sz w:val="28"/>
          <w:szCs w:val="28"/>
        </w:rPr>
        <w:t>Planilla de Cotización</w:t>
      </w:r>
    </w:p>
    <w:tbl>
      <w:tblPr>
        <w:tblW w:w="88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1843"/>
        <w:gridCol w:w="1701"/>
        <w:gridCol w:w="1796"/>
      </w:tblGrid>
      <w:tr w:rsidR="00535D8E" w:rsidRPr="00467F4F" w14:paraId="1D229EB6" w14:textId="77777777" w:rsidTr="002E02AE">
        <w:trPr>
          <w:trHeight w:val="567"/>
          <w:jc w:val="center"/>
        </w:trPr>
        <w:tc>
          <w:tcPr>
            <w:tcW w:w="354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5A08C13" w14:textId="77777777" w:rsidR="00535D8E" w:rsidRPr="00467F4F" w:rsidRDefault="00535D8E" w:rsidP="00467F4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B2A9D34" w14:textId="77777777" w:rsidR="00535D8E" w:rsidRPr="00467F4F" w:rsidRDefault="00535D8E" w:rsidP="00467F4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7F4F">
              <w:rPr>
                <w:rFonts w:ascii="Calibri" w:hAnsi="Calibri" w:cs="Arial"/>
                <w:b/>
                <w:sz w:val="20"/>
                <w:szCs w:val="20"/>
              </w:rPr>
              <w:t>MONTO</w:t>
            </w:r>
          </w:p>
          <w:p w14:paraId="6CDDA7BC" w14:textId="77777777" w:rsidR="00535D8E" w:rsidRPr="00467F4F" w:rsidRDefault="00535D8E" w:rsidP="00467F4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7F4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0E78BAF4" w14:textId="77777777" w:rsidR="00535D8E" w:rsidRPr="00467F4F" w:rsidRDefault="00535D8E" w:rsidP="00467F4F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8A8EC98" w14:textId="77777777" w:rsidR="00535D8E" w:rsidRPr="00467F4F" w:rsidRDefault="00535D8E" w:rsidP="00467F4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7F4F">
              <w:rPr>
                <w:rFonts w:ascii="Calibri" w:hAnsi="Calibri" w:cs="Arial"/>
                <w:b/>
                <w:sz w:val="20"/>
                <w:szCs w:val="20"/>
              </w:rPr>
              <w:t>IVA</w:t>
            </w:r>
          </w:p>
          <w:p w14:paraId="138967C7" w14:textId="77777777" w:rsidR="00535D8E" w:rsidRPr="00467F4F" w:rsidRDefault="00535D8E" w:rsidP="00467F4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7F4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95EE7A1" w14:textId="77777777" w:rsidR="00535D8E" w:rsidRPr="00467F4F" w:rsidRDefault="00535D8E" w:rsidP="00467F4F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8E8D704" w14:textId="77777777" w:rsidR="00535D8E" w:rsidRPr="00467F4F" w:rsidRDefault="00535D8E" w:rsidP="00467F4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7F4F">
              <w:rPr>
                <w:rFonts w:ascii="Calibri" w:hAnsi="Calibri" w:cs="Arial"/>
                <w:b/>
                <w:sz w:val="20"/>
                <w:szCs w:val="20"/>
              </w:rPr>
              <w:t xml:space="preserve">TOTAL </w:t>
            </w:r>
          </w:p>
          <w:p w14:paraId="478D91E3" w14:textId="77777777" w:rsidR="00535D8E" w:rsidRPr="00467F4F" w:rsidRDefault="00535D8E" w:rsidP="00467F4F">
            <w:pPr>
              <w:jc w:val="center"/>
            </w:pPr>
            <w:r w:rsidRPr="00467F4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</w:tr>
      <w:tr w:rsidR="00535D8E" w:rsidRPr="00467F4F" w14:paraId="711DE4FB" w14:textId="77777777" w:rsidTr="002E02AE">
        <w:trPr>
          <w:trHeight w:val="264"/>
          <w:jc w:val="center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F7F83" w14:textId="77777777" w:rsidR="00535D8E" w:rsidRPr="00467F4F" w:rsidRDefault="00ED375A" w:rsidP="00467F4F">
            <w:pPr>
              <w:rPr>
                <w:rFonts w:ascii="Arial" w:hAnsi="Arial" w:cs="Arial"/>
                <w:b/>
                <w:lang w:val="es-MX"/>
              </w:rPr>
            </w:pPr>
            <w:r w:rsidRPr="00467F4F">
              <w:rPr>
                <w:rFonts w:ascii="Arial" w:hAnsi="Arial" w:cs="Arial"/>
                <w:b/>
                <w:lang w:val="es-MX"/>
              </w:rPr>
              <w:t xml:space="preserve">Costo de </w:t>
            </w:r>
            <w:r w:rsidR="00535D8E" w:rsidRPr="00467F4F">
              <w:rPr>
                <w:rFonts w:ascii="Arial" w:hAnsi="Arial" w:cs="Arial"/>
                <w:b/>
                <w:lang w:val="es-MX"/>
              </w:rPr>
              <w:t>Inversión en Medios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A4CC" w14:textId="77777777" w:rsidR="00535D8E" w:rsidRPr="00467F4F" w:rsidRDefault="00535D8E" w:rsidP="00467F4F">
            <w:pPr>
              <w:snapToGrid w:val="0"/>
              <w:jc w:val="center"/>
              <w:rPr>
                <w:rFonts w:ascii="Calibri" w:eastAsia="Calibri" w:hAnsi="Calibri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08A4" w14:textId="77777777" w:rsidR="00535D8E" w:rsidRPr="00467F4F" w:rsidRDefault="00535D8E" w:rsidP="00467F4F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4FF2" w14:textId="77777777" w:rsidR="00535D8E" w:rsidRPr="00467F4F" w:rsidRDefault="00535D8E" w:rsidP="00467F4F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5D8E" w:rsidRPr="00467F4F" w14:paraId="3B52443C" w14:textId="77777777" w:rsidTr="002E02AE">
        <w:trPr>
          <w:trHeight w:val="264"/>
          <w:jc w:val="center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6ADF" w14:textId="77777777" w:rsidR="00535D8E" w:rsidRPr="00467F4F" w:rsidRDefault="00ED375A" w:rsidP="00467F4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67F4F">
              <w:rPr>
                <w:rFonts w:ascii="Arial" w:hAnsi="Arial" w:cs="Arial"/>
                <w:b/>
                <w:lang w:val="es-MX"/>
              </w:rPr>
              <w:t xml:space="preserve">Costo de </w:t>
            </w:r>
            <w:r w:rsidR="00535D8E" w:rsidRPr="00467F4F">
              <w:rPr>
                <w:rFonts w:ascii="Arial" w:hAnsi="Arial" w:cs="Arial"/>
                <w:b/>
                <w:lang w:val="es-MX"/>
              </w:rPr>
              <w:t>Inversión en  Producción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9FE2" w14:textId="77777777" w:rsidR="00535D8E" w:rsidRPr="00467F4F" w:rsidRDefault="00535D8E" w:rsidP="00467F4F">
            <w:pPr>
              <w:snapToGrid w:val="0"/>
              <w:jc w:val="center"/>
              <w:rPr>
                <w:rFonts w:ascii="Calibri" w:eastAsia="Calibri" w:hAnsi="Calibri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AE1D" w14:textId="77777777" w:rsidR="00535D8E" w:rsidRPr="00467F4F" w:rsidRDefault="00535D8E" w:rsidP="00467F4F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890C" w14:textId="77777777" w:rsidR="00535D8E" w:rsidRPr="00467F4F" w:rsidRDefault="00535D8E" w:rsidP="00467F4F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5D8E" w:rsidRPr="00467F4F" w14:paraId="0F54BFF3" w14:textId="77777777" w:rsidTr="002E02AE">
        <w:trPr>
          <w:trHeight w:val="85"/>
          <w:jc w:val="center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09872" w14:textId="77777777" w:rsidR="00535D8E" w:rsidRPr="00467F4F" w:rsidRDefault="00535D8E" w:rsidP="00467F4F">
            <w:pPr>
              <w:rPr>
                <w:rFonts w:ascii="Arial" w:hAnsi="Arial" w:cs="Arial"/>
                <w:b/>
                <w:lang w:val="es-MX"/>
              </w:rPr>
            </w:pPr>
            <w:r w:rsidRPr="00467F4F">
              <w:rPr>
                <w:rFonts w:ascii="Arial" w:hAnsi="Arial" w:cs="Arial"/>
                <w:b/>
                <w:lang w:val="es-MX"/>
              </w:rPr>
              <w:t xml:space="preserve">Honorarios </w:t>
            </w:r>
            <w:r w:rsidR="00ED375A" w:rsidRPr="00467F4F">
              <w:rPr>
                <w:rFonts w:ascii="Arial" w:hAnsi="Arial" w:cs="Arial"/>
                <w:b/>
                <w:lang w:val="es-MX"/>
              </w:rPr>
              <w:t>por S</w:t>
            </w:r>
            <w:r w:rsidRPr="00467F4F">
              <w:rPr>
                <w:rFonts w:ascii="Arial" w:hAnsi="Arial" w:cs="Arial"/>
                <w:b/>
                <w:lang w:val="es-MX"/>
              </w:rPr>
              <w:t>ervicios de la Agencia</w:t>
            </w:r>
            <w:r w:rsidR="009565B7" w:rsidRPr="00467F4F">
              <w:rPr>
                <w:rFonts w:ascii="Arial" w:hAnsi="Arial" w:cs="Arial"/>
                <w:b/>
                <w:lang w:val="es-MX"/>
              </w:rPr>
              <w:t xml:space="preserve"> (</w:t>
            </w:r>
            <w:r w:rsidR="003D1196" w:rsidRPr="00467F4F">
              <w:rPr>
                <w:rFonts w:ascii="Arial" w:hAnsi="Arial" w:cs="Arial"/>
                <w:b/>
                <w:lang w:val="es-MX"/>
              </w:rPr>
              <w:t>Estrategia, Creatividad, Producción y Planificación de Medios)</w:t>
            </w:r>
            <w:r w:rsidRPr="00467F4F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47C6" w14:textId="77777777" w:rsidR="00535D8E" w:rsidRPr="00467F4F" w:rsidRDefault="00535D8E" w:rsidP="00467F4F">
            <w:pPr>
              <w:snapToGrid w:val="0"/>
              <w:jc w:val="center"/>
              <w:rPr>
                <w:rFonts w:ascii="Calibri" w:eastAsia="Calibri" w:hAnsi="Calibri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4228" w14:textId="77777777" w:rsidR="00535D8E" w:rsidRPr="00467F4F" w:rsidRDefault="00535D8E" w:rsidP="00467F4F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E076" w14:textId="77777777" w:rsidR="00535D8E" w:rsidRPr="00467F4F" w:rsidRDefault="00535D8E" w:rsidP="00467F4F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5D8E" w:rsidRPr="007746F9" w14:paraId="30942378" w14:textId="77777777" w:rsidTr="002E02AE">
        <w:trPr>
          <w:trHeight w:val="85"/>
          <w:jc w:val="center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47FC7" w14:textId="77777777" w:rsidR="00535D8E" w:rsidRPr="00467F4F" w:rsidRDefault="00535D8E" w:rsidP="00467F4F">
            <w:pPr>
              <w:rPr>
                <w:rFonts w:ascii="Arial" w:hAnsi="Arial" w:cs="Arial"/>
                <w:b/>
                <w:lang w:val="es-MX"/>
              </w:rPr>
            </w:pPr>
            <w:r w:rsidRPr="00467F4F">
              <w:rPr>
                <w:rFonts w:ascii="Arial" w:hAnsi="Arial" w:cs="Arial"/>
                <w:b/>
                <w:lang w:val="es-MX"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DF77" w14:textId="77777777" w:rsidR="00535D8E" w:rsidRPr="007746F9" w:rsidRDefault="00535D8E" w:rsidP="00467F4F">
            <w:pPr>
              <w:snapToGrid w:val="0"/>
              <w:jc w:val="center"/>
              <w:rPr>
                <w:rFonts w:ascii="Calibri" w:eastAsia="Calibri" w:hAnsi="Calibri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C0D5" w14:textId="77777777" w:rsidR="00535D8E" w:rsidRPr="007746F9" w:rsidRDefault="00535D8E" w:rsidP="00467F4F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74BC" w14:textId="242AE1D1" w:rsidR="00535D8E" w:rsidRPr="00467F4F" w:rsidRDefault="00467F4F" w:rsidP="00467F4F">
            <w:pPr>
              <w:snapToGrid w:val="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67F4F"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</w:rPr>
              <w:t>(Hasta $60:000.000)</w:t>
            </w:r>
          </w:p>
        </w:tc>
      </w:tr>
    </w:tbl>
    <w:p w14:paraId="6BD6AE45" w14:textId="77777777" w:rsidR="00467F4F" w:rsidRDefault="00467F4F" w:rsidP="00467F4F">
      <w:pPr>
        <w:jc w:val="both"/>
        <w:rPr>
          <w:rFonts w:ascii="Arial" w:hAnsi="Arial" w:cs="Arial"/>
        </w:rPr>
      </w:pPr>
    </w:p>
    <w:p w14:paraId="00B568BD" w14:textId="5CE03B83" w:rsidR="00D74E2A" w:rsidRDefault="00623BEA" w:rsidP="00467F4F">
      <w:pPr>
        <w:jc w:val="both"/>
        <w:rPr>
          <w:rFonts w:ascii="Arial" w:hAnsi="Arial" w:cs="Arial"/>
        </w:rPr>
      </w:pPr>
      <w:r w:rsidRPr="00467F4F">
        <w:rPr>
          <w:rFonts w:ascii="Arial" w:hAnsi="Arial" w:cs="Arial"/>
        </w:rPr>
        <w:t xml:space="preserve">Los conceptos de Costo de Inversión en Medios y en Producción y Honorarios por Servicios de la Agencia (Estrategia, Creatividad, Producción y Planificación de Medios) </w:t>
      </w:r>
      <w:r w:rsidR="00467F4F">
        <w:rPr>
          <w:rFonts w:ascii="Arial" w:hAnsi="Arial" w:cs="Arial"/>
        </w:rPr>
        <w:t>constituyen</w:t>
      </w:r>
      <w:r w:rsidR="006D6F05" w:rsidRPr="00467F4F">
        <w:rPr>
          <w:rFonts w:ascii="Arial" w:hAnsi="Arial" w:cs="Arial"/>
        </w:rPr>
        <w:t xml:space="preserve"> el precio a abonar por el Estado en pesos uruguayos por el plazo de la contratación.-</w:t>
      </w:r>
      <w:r w:rsidR="00ED375A" w:rsidRPr="00467F4F">
        <w:rPr>
          <w:rFonts w:ascii="Arial" w:hAnsi="Arial" w:cs="Arial"/>
        </w:rPr>
        <w:t xml:space="preserve">Los TOTALES </w:t>
      </w:r>
      <w:r w:rsidR="00467F4F">
        <w:rPr>
          <w:rFonts w:ascii="Arial" w:hAnsi="Arial" w:cs="Arial"/>
        </w:rPr>
        <w:t>son</w:t>
      </w:r>
      <w:r w:rsidR="00ED375A" w:rsidRPr="00467F4F">
        <w:rPr>
          <w:rFonts w:ascii="Arial" w:hAnsi="Arial" w:cs="Arial"/>
        </w:rPr>
        <w:t xml:space="preserve"> la sumatoria de</w:t>
      </w:r>
      <w:r w:rsidRPr="00467F4F">
        <w:rPr>
          <w:rFonts w:ascii="Arial" w:hAnsi="Arial" w:cs="Arial"/>
        </w:rPr>
        <w:t xml:space="preserve"> las cantidades establecidas como </w:t>
      </w:r>
      <w:r w:rsidR="00ED375A" w:rsidRPr="00467F4F">
        <w:rPr>
          <w:rFonts w:ascii="Arial" w:hAnsi="Arial" w:cs="Arial"/>
        </w:rPr>
        <w:t xml:space="preserve"> </w:t>
      </w:r>
      <w:r w:rsidRPr="00467F4F">
        <w:rPr>
          <w:rFonts w:ascii="Arial" w:hAnsi="Arial" w:cs="Arial"/>
        </w:rPr>
        <w:t>“</w:t>
      </w:r>
      <w:r w:rsidR="00ED375A" w:rsidRPr="00467F4F">
        <w:rPr>
          <w:rFonts w:ascii="Arial" w:hAnsi="Arial" w:cs="Arial"/>
        </w:rPr>
        <w:t>MONTO</w:t>
      </w:r>
      <w:r w:rsidRPr="00467F4F">
        <w:rPr>
          <w:rFonts w:ascii="Arial" w:hAnsi="Arial" w:cs="Arial"/>
        </w:rPr>
        <w:t>”</w:t>
      </w:r>
      <w:r w:rsidR="00ED375A" w:rsidRPr="00467F4F">
        <w:rPr>
          <w:rFonts w:ascii="Arial" w:hAnsi="Arial" w:cs="Arial"/>
        </w:rPr>
        <w:t xml:space="preserve">, </w:t>
      </w:r>
      <w:r w:rsidRPr="00467F4F">
        <w:rPr>
          <w:rFonts w:ascii="Arial" w:hAnsi="Arial" w:cs="Arial"/>
        </w:rPr>
        <w:t>“</w:t>
      </w:r>
      <w:r w:rsidRPr="00467F4F">
        <w:rPr>
          <w:rFonts w:ascii="Arial" w:hAnsi="Arial" w:cs="Arial"/>
          <w:caps/>
        </w:rPr>
        <w:t>IVA”</w:t>
      </w:r>
      <w:r w:rsidR="00ED375A" w:rsidRPr="00467F4F">
        <w:rPr>
          <w:rFonts w:ascii="Arial" w:hAnsi="Arial" w:cs="Arial"/>
        </w:rPr>
        <w:t xml:space="preserve"> y </w:t>
      </w:r>
      <w:r w:rsidRPr="00467F4F">
        <w:rPr>
          <w:rFonts w:ascii="Arial" w:hAnsi="Arial" w:cs="Arial"/>
        </w:rPr>
        <w:t>“</w:t>
      </w:r>
      <w:r w:rsidR="00ED375A" w:rsidRPr="00467F4F">
        <w:rPr>
          <w:rFonts w:ascii="Arial" w:hAnsi="Arial" w:cs="Arial"/>
        </w:rPr>
        <w:t>TOTAL</w:t>
      </w:r>
      <w:r w:rsidRPr="00467F4F">
        <w:rPr>
          <w:rFonts w:ascii="Arial" w:hAnsi="Arial" w:cs="Arial"/>
        </w:rPr>
        <w:t>”</w:t>
      </w:r>
      <w:r w:rsidR="00ED375A" w:rsidRPr="00467F4F">
        <w:rPr>
          <w:rFonts w:ascii="Arial" w:hAnsi="Arial" w:cs="Arial"/>
        </w:rPr>
        <w:t xml:space="preserve"> cotizados para Costo de Inversión en Medios, Costo de Inversión en  Producción y Honorarios por Servicios de la Agencia.</w:t>
      </w:r>
    </w:p>
    <w:p w14:paraId="60A87078" w14:textId="3C74D741" w:rsidR="001E60EE" w:rsidRPr="001E60EE" w:rsidRDefault="001E60EE" w:rsidP="001E60EE">
      <w:pPr>
        <w:pStyle w:val="HTMLconformatoprevio"/>
        <w:shd w:val="clear" w:color="auto" w:fill="FFFFFF"/>
        <w:spacing w:after="15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60EE">
        <w:rPr>
          <w:rFonts w:ascii="Arial" w:eastAsiaTheme="minorHAnsi" w:hAnsi="Arial" w:cs="Arial"/>
          <w:sz w:val="22"/>
          <w:szCs w:val="22"/>
          <w:lang w:eastAsia="en-US"/>
        </w:rPr>
        <w:t xml:space="preserve">La tasa de descuento por pronto pago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prevista en este numeral del pliego, </w:t>
      </w:r>
      <w:r w:rsidRPr="001E60EE">
        <w:rPr>
          <w:rFonts w:ascii="Arial" w:eastAsiaTheme="minorHAnsi" w:hAnsi="Arial" w:cs="Arial"/>
          <w:sz w:val="22"/>
          <w:szCs w:val="22"/>
          <w:lang w:eastAsia="en-US"/>
        </w:rPr>
        <w:t xml:space="preserve">es una tasa de descuento que pueden ofrecer los cotizantes a efectos que, en caso de pago </w:t>
      </w:r>
      <w:r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1E60EE">
        <w:rPr>
          <w:rFonts w:ascii="Arial" w:eastAsiaTheme="minorHAnsi" w:hAnsi="Arial" w:cs="Arial"/>
          <w:sz w:val="22"/>
          <w:szCs w:val="22"/>
          <w:lang w:eastAsia="en-US"/>
        </w:rPr>
        <w:t xml:space="preserve">ontado,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ese porcentaje </w:t>
      </w:r>
      <w:r w:rsidRPr="001E60EE">
        <w:rPr>
          <w:rFonts w:ascii="Arial" w:eastAsiaTheme="minorHAnsi" w:hAnsi="Arial" w:cs="Arial"/>
          <w:sz w:val="22"/>
          <w:szCs w:val="22"/>
          <w:lang w:eastAsia="en-US"/>
        </w:rPr>
        <w:t>se descuente de</w:t>
      </w:r>
      <w:r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Pr="001E60EE">
        <w:rPr>
          <w:rFonts w:ascii="Arial" w:eastAsiaTheme="minorHAnsi" w:hAnsi="Arial" w:cs="Arial"/>
          <w:sz w:val="22"/>
          <w:szCs w:val="22"/>
          <w:lang w:eastAsia="en-US"/>
        </w:rPr>
        <w:t xml:space="preserve"> precio. </w:t>
      </w:r>
    </w:p>
    <w:p w14:paraId="4A7FC7EB" w14:textId="77777777" w:rsidR="00623BEA" w:rsidRDefault="00623BEA" w:rsidP="00623BEA">
      <w:pPr>
        <w:ind w:left="360"/>
        <w:jc w:val="both"/>
        <w:rPr>
          <w:rFonts w:ascii="Arial" w:hAnsi="Arial" w:cs="Arial"/>
          <w:b/>
        </w:rPr>
      </w:pPr>
    </w:p>
    <w:p w14:paraId="19A0D676" w14:textId="265B9311" w:rsidR="00AB1D2F" w:rsidRDefault="002224CC" w:rsidP="00623B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FC519D">
        <w:rPr>
          <w:rFonts w:ascii="Arial" w:hAnsi="Arial" w:cs="Arial"/>
          <w:color w:val="000000" w:themeColor="text1"/>
        </w:rPr>
        <w:t xml:space="preserve">Cuando </w:t>
      </w:r>
      <w:r w:rsidR="006D76CA" w:rsidRPr="00FC519D">
        <w:rPr>
          <w:rFonts w:ascii="Arial" w:hAnsi="Arial" w:cs="Arial"/>
          <w:color w:val="000000" w:themeColor="text1"/>
        </w:rPr>
        <w:t xml:space="preserve">en el </w:t>
      </w:r>
      <w:r w:rsidR="00FC519D" w:rsidRPr="00FC519D">
        <w:rPr>
          <w:rFonts w:ascii="Arial" w:hAnsi="Arial" w:cs="Arial"/>
          <w:b/>
          <w:color w:val="000000" w:themeColor="text1"/>
        </w:rPr>
        <w:t>numeral</w:t>
      </w:r>
      <w:r w:rsidR="006D76CA" w:rsidRPr="00FC519D">
        <w:rPr>
          <w:rFonts w:ascii="Arial" w:hAnsi="Arial" w:cs="Arial"/>
          <w:b/>
          <w:color w:val="000000" w:themeColor="text1"/>
        </w:rPr>
        <w:t xml:space="preserve"> 10.2. de </w:t>
      </w:r>
      <w:r w:rsidR="00467F4F" w:rsidRPr="00FC519D">
        <w:rPr>
          <w:rFonts w:ascii="Arial" w:hAnsi="Arial" w:cs="Arial"/>
          <w:b/>
          <w:color w:val="000000" w:themeColor="text1"/>
        </w:rPr>
        <w:t>“</w:t>
      </w:r>
      <w:r w:rsidR="00FC519D">
        <w:rPr>
          <w:rFonts w:ascii="Arial" w:hAnsi="Arial" w:cs="Arial"/>
          <w:b/>
          <w:color w:val="000000" w:themeColor="text1"/>
        </w:rPr>
        <w:t>Comparación de ofertas a</w:t>
      </w:r>
      <w:r w:rsidR="006D76CA" w:rsidRPr="00FC519D">
        <w:rPr>
          <w:rFonts w:ascii="Arial" w:hAnsi="Arial" w:cs="Arial"/>
          <w:b/>
          <w:color w:val="000000" w:themeColor="text1"/>
        </w:rPr>
        <w:t>dmisibles – criterios de evaluación del Sobre Nº 1</w:t>
      </w:r>
      <w:r w:rsidR="00FC519D">
        <w:rPr>
          <w:rFonts w:ascii="Arial" w:hAnsi="Arial" w:cs="Arial"/>
          <w:b/>
          <w:color w:val="000000" w:themeColor="text1"/>
        </w:rPr>
        <w:t>”</w:t>
      </w:r>
      <w:r w:rsidR="006D76CA" w:rsidRPr="00FC519D">
        <w:rPr>
          <w:rFonts w:ascii="Arial" w:hAnsi="Arial" w:cs="Arial"/>
          <w:color w:val="000000" w:themeColor="text1"/>
        </w:rPr>
        <w:t xml:space="preserve">, </w:t>
      </w:r>
      <w:r w:rsidR="000D3A53">
        <w:rPr>
          <w:rFonts w:ascii="Arial" w:hAnsi="Arial" w:cs="Arial"/>
          <w:color w:val="000000" w:themeColor="text1"/>
        </w:rPr>
        <w:t xml:space="preserve">se dice </w:t>
      </w:r>
      <w:r w:rsidR="006D76CA" w:rsidRPr="00FC519D">
        <w:rPr>
          <w:rFonts w:ascii="Arial" w:hAnsi="Arial" w:cs="Arial"/>
          <w:color w:val="000000" w:themeColor="text1"/>
        </w:rPr>
        <w:t>el factor</w:t>
      </w:r>
      <w:r w:rsidR="00C23900" w:rsidRPr="00FC519D">
        <w:rPr>
          <w:rFonts w:ascii="Arial" w:hAnsi="Arial" w:cs="Arial"/>
          <w:color w:val="000000" w:themeColor="text1"/>
        </w:rPr>
        <w:t xml:space="preserve"> </w:t>
      </w:r>
      <w:r w:rsidR="006D76CA" w:rsidRPr="00FC519D">
        <w:rPr>
          <w:rFonts w:ascii="Arial" w:hAnsi="Arial" w:cs="Arial"/>
          <w:color w:val="000000" w:themeColor="text1"/>
        </w:rPr>
        <w:t>“</w:t>
      </w:r>
      <w:r w:rsidR="00C23900" w:rsidRPr="00FC519D">
        <w:rPr>
          <w:rFonts w:ascii="Arial" w:hAnsi="Arial" w:cs="Arial"/>
          <w:color w:val="000000" w:themeColor="text1"/>
        </w:rPr>
        <w:t>ANTECEDENTES,</w:t>
      </w:r>
      <w:r w:rsidR="006D76CA" w:rsidRPr="00FC519D">
        <w:rPr>
          <w:rFonts w:ascii="Arial" w:hAnsi="Arial" w:cs="Arial"/>
          <w:color w:val="000000" w:themeColor="text1"/>
        </w:rPr>
        <w:t xml:space="preserve"> </w:t>
      </w:r>
      <w:r w:rsidR="00BE743D" w:rsidRPr="00FC519D">
        <w:rPr>
          <w:rFonts w:ascii="Arial" w:hAnsi="Arial" w:cs="Arial"/>
          <w:color w:val="000000" w:themeColor="text1"/>
        </w:rPr>
        <w:t>ATENCIÓN DE LA CUENTA</w:t>
      </w:r>
      <w:r w:rsidR="00AB1D2F">
        <w:rPr>
          <w:rFonts w:ascii="Arial" w:hAnsi="Arial" w:cs="Arial"/>
          <w:color w:val="000000" w:themeColor="text1"/>
        </w:rPr>
        <w:t>”</w:t>
      </w:r>
      <w:r w:rsidR="00BE743D" w:rsidRPr="00FC519D">
        <w:rPr>
          <w:rFonts w:ascii="Arial" w:hAnsi="Arial" w:cs="Arial"/>
          <w:color w:val="000000" w:themeColor="text1"/>
        </w:rPr>
        <w:t>,</w:t>
      </w:r>
      <w:r w:rsidR="00AB1D2F">
        <w:rPr>
          <w:rFonts w:ascii="Arial" w:hAnsi="Arial" w:cs="Arial"/>
          <w:color w:val="000000" w:themeColor="text1"/>
        </w:rPr>
        <w:t xml:space="preserve"> se</w:t>
      </w:r>
      <w:r w:rsidR="00FC519D">
        <w:rPr>
          <w:rFonts w:ascii="Arial" w:hAnsi="Arial" w:cs="Arial"/>
          <w:color w:val="000000" w:themeColor="text1"/>
        </w:rPr>
        <w:t xml:space="preserve"> refiere</w:t>
      </w:r>
      <w:r w:rsidR="00BE743D" w:rsidRPr="00FC519D">
        <w:rPr>
          <w:rFonts w:ascii="Arial" w:hAnsi="Arial" w:cs="Arial"/>
          <w:color w:val="000000" w:themeColor="text1"/>
        </w:rPr>
        <w:t xml:space="preserve"> </w:t>
      </w:r>
      <w:r w:rsidR="00D74E2A" w:rsidRPr="00FC519D">
        <w:rPr>
          <w:rFonts w:ascii="Arial" w:hAnsi="Arial" w:cs="Arial"/>
          <w:color w:val="000000" w:themeColor="text1"/>
        </w:rPr>
        <w:t>a</w:t>
      </w:r>
      <w:r w:rsidR="006D76CA" w:rsidRPr="00FC519D">
        <w:rPr>
          <w:rFonts w:ascii="Arial" w:hAnsi="Arial" w:cs="Arial"/>
          <w:color w:val="000000" w:themeColor="text1"/>
        </w:rPr>
        <w:t xml:space="preserve"> l</w:t>
      </w:r>
      <w:r w:rsidR="00FC519D">
        <w:rPr>
          <w:rFonts w:ascii="Arial" w:hAnsi="Arial" w:cs="Arial"/>
          <w:color w:val="000000" w:themeColor="text1"/>
        </w:rPr>
        <w:t>a información que se proporciona</w:t>
      </w:r>
      <w:r w:rsidR="006D76CA" w:rsidRPr="00FC519D">
        <w:rPr>
          <w:rFonts w:ascii="Arial" w:hAnsi="Arial" w:cs="Arial"/>
          <w:color w:val="000000" w:themeColor="text1"/>
        </w:rPr>
        <w:t xml:space="preserve"> por los oferentes</w:t>
      </w:r>
      <w:r w:rsidR="000B5CEC">
        <w:rPr>
          <w:rFonts w:ascii="Arial" w:hAnsi="Arial" w:cs="Arial"/>
          <w:color w:val="000000" w:themeColor="text1"/>
        </w:rPr>
        <w:t xml:space="preserve"> </w:t>
      </w:r>
      <w:r w:rsidR="006D76CA" w:rsidRPr="00FC519D">
        <w:rPr>
          <w:rFonts w:ascii="Arial" w:hAnsi="Arial" w:cs="Arial"/>
          <w:color w:val="000000" w:themeColor="text1"/>
        </w:rPr>
        <w:t>relativ</w:t>
      </w:r>
      <w:r w:rsidR="00AD2F15" w:rsidRPr="00FC519D">
        <w:rPr>
          <w:rFonts w:ascii="Arial" w:hAnsi="Arial" w:cs="Arial"/>
          <w:color w:val="000000" w:themeColor="text1"/>
        </w:rPr>
        <w:t>a</w:t>
      </w:r>
      <w:r w:rsidR="006D76CA" w:rsidRPr="00FC519D">
        <w:rPr>
          <w:rFonts w:ascii="Arial" w:hAnsi="Arial" w:cs="Arial"/>
          <w:color w:val="000000" w:themeColor="text1"/>
        </w:rPr>
        <w:t xml:space="preserve"> a</w:t>
      </w:r>
      <w:r w:rsidR="00D74E2A" w:rsidRPr="00FC519D">
        <w:rPr>
          <w:rFonts w:ascii="Arial" w:hAnsi="Arial" w:cs="Arial"/>
          <w:color w:val="000000" w:themeColor="text1"/>
        </w:rPr>
        <w:t xml:space="preserve"> los encargados de los clientes y su forma d trabajo</w:t>
      </w:r>
      <w:r w:rsidRPr="00FC519D">
        <w:rPr>
          <w:rFonts w:ascii="Arial" w:hAnsi="Arial" w:cs="Arial"/>
          <w:color w:val="000000" w:themeColor="text1"/>
        </w:rPr>
        <w:t xml:space="preserve">. </w:t>
      </w:r>
    </w:p>
    <w:p w14:paraId="23255120" w14:textId="1991052E" w:rsidR="00F42EF5" w:rsidRDefault="002224CC" w:rsidP="00AB1D2F">
      <w:pPr>
        <w:pStyle w:val="Prrafodelista"/>
        <w:jc w:val="both"/>
        <w:rPr>
          <w:rFonts w:ascii="Arial" w:hAnsi="Arial" w:cs="Arial"/>
          <w:color w:val="000000" w:themeColor="text1"/>
        </w:rPr>
      </w:pPr>
      <w:r w:rsidRPr="00FC519D">
        <w:rPr>
          <w:rFonts w:ascii="Arial" w:hAnsi="Arial" w:cs="Arial"/>
          <w:color w:val="000000" w:themeColor="text1"/>
        </w:rPr>
        <w:t xml:space="preserve">Y cuando se </w:t>
      </w:r>
      <w:r w:rsidR="00FC519D">
        <w:rPr>
          <w:rFonts w:ascii="Arial" w:hAnsi="Arial" w:cs="Arial"/>
          <w:color w:val="000000" w:themeColor="text1"/>
        </w:rPr>
        <w:t>dice</w:t>
      </w:r>
      <w:r w:rsidR="00C23900" w:rsidRPr="00FC519D">
        <w:rPr>
          <w:rFonts w:ascii="Arial" w:hAnsi="Arial" w:cs="Arial"/>
          <w:color w:val="000000" w:themeColor="text1"/>
        </w:rPr>
        <w:t xml:space="preserve">, en </w:t>
      </w:r>
      <w:r w:rsidR="00FC519D" w:rsidRPr="00FC519D">
        <w:rPr>
          <w:rFonts w:ascii="Arial" w:hAnsi="Arial" w:cs="Arial"/>
          <w:color w:val="000000" w:themeColor="text1"/>
        </w:rPr>
        <w:t xml:space="preserve">el factor </w:t>
      </w:r>
      <w:r w:rsidR="006D76CA" w:rsidRPr="00FC519D">
        <w:rPr>
          <w:rFonts w:ascii="Arial" w:hAnsi="Arial" w:cs="Arial"/>
          <w:color w:val="000000" w:themeColor="text1"/>
        </w:rPr>
        <w:t>“</w:t>
      </w:r>
      <w:r w:rsidR="00C23900" w:rsidRPr="00FC519D">
        <w:rPr>
          <w:rFonts w:ascii="Arial" w:hAnsi="Arial" w:cs="Arial"/>
          <w:color w:val="000000" w:themeColor="text1"/>
        </w:rPr>
        <w:t>PROPUESTA PUBLICITARIA,</w:t>
      </w:r>
      <w:r w:rsidRPr="00FC519D">
        <w:rPr>
          <w:rFonts w:ascii="Arial" w:hAnsi="Arial" w:cs="Arial"/>
          <w:color w:val="000000" w:themeColor="text1"/>
        </w:rPr>
        <w:t xml:space="preserve"> </w:t>
      </w:r>
      <w:r w:rsidR="00BE743D" w:rsidRPr="00FC519D">
        <w:rPr>
          <w:rFonts w:ascii="Arial" w:hAnsi="Arial" w:cs="Arial"/>
          <w:color w:val="000000" w:themeColor="text1"/>
        </w:rPr>
        <w:t>EQUIPO DE TRABAJO PROPUESTO</w:t>
      </w:r>
      <w:r w:rsidR="006D76CA" w:rsidRPr="00FC519D">
        <w:rPr>
          <w:rFonts w:ascii="Arial" w:hAnsi="Arial" w:cs="Arial"/>
          <w:color w:val="000000" w:themeColor="text1"/>
        </w:rPr>
        <w:t>”</w:t>
      </w:r>
      <w:r w:rsidR="00C23900" w:rsidRPr="00FC519D">
        <w:rPr>
          <w:rFonts w:ascii="Arial" w:hAnsi="Arial" w:cs="Arial"/>
          <w:color w:val="000000" w:themeColor="text1"/>
        </w:rPr>
        <w:t>,</w:t>
      </w:r>
      <w:r w:rsidR="00BE743D" w:rsidRPr="00FC519D">
        <w:rPr>
          <w:rFonts w:ascii="Arial" w:hAnsi="Arial" w:cs="Arial"/>
          <w:color w:val="000000" w:themeColor="text1"/>
        </w:rPr>
        <w:t xml:space="preserve"> se </w:t>
      </w:r>
      <w:r w:rsidR="00FC519D">
        <w:rPr>
          <w:rFonts w:ascii="Arial" w:hAnsi="Arial" w:cs="Arial"/>
          <w:color w:val="000000" w:themeColor="text1"/>
        </w:rPr>
        <w:t>refiere</w:t>
      </w:r>
      <w:r w:rsidR="00BE743D" w:rsidRPr="00FC519D">
        <w:rPr>
          <w:rFonts w:ascii="Arial" w:hAnsi="Arial" w:cs="Arial"/>
          <w:color w:val="000000" w:themeColor="text1"/>
        </w:rPr>
        <w:t xml:space="preserve"> al  personal </w:t>
      </w:r>
      <w:r w:rsidR="00FC519D">
        <w:rPr>
          <w:rFonts w:ascii="Arial" w:hAnsi="Arial" w:cs="Arial"/>
          <w:color w:val="000000" w:themeColor="text1"/>
        </w:rPr>
        <w:t>asignado</w:t>
      </w:r>
      <w:r w:rsidR="00D74E2A" w:rsidRPr="00FC519D">
        <w:rPr>
          <w:rFonts w:ascii="Arial" w:hAnsi="Arial" w:cs="Arial"/>
          <w:color w:val="000000" w:themeColor="text1"/>
        </w:rPr>
        <w:t xml:space="preserve"> a</w:t>
      </w:r>
      <w:r w:rsidR="00BE743D" w:rsidRPr="00FC519D">
        <w:rPr>
          <w:rFonts w:ascii="Arial" w:hAnsi="Arial" w:cs="Arial"/>
          <w:color w:val="000000" w:themeColor="text1"/>
        </w:rPr>
        <w:t xml:space="preserve"> los servicios </w:t>
      </w:r>
      <w:r w:rsidRPr="00FC519D">
        <w:rPr>
          <w:rFonts w:ascii="Arial" w:hAnsi="Arial" w:cs="Arial"/>
          <w:color w:val="000000" w:themeColor="text1"/>
        </w:rPr>
        <w:t>propuestos</w:t>
      </w:r>
      <w:r w:rsidR="006D76CA" w:rsidRPr="00FC519D">
        <w:rPr>
          <w:rFonts w:ascii="Arial" w:hAnsi="Arial" w:cs="Arial"/>
          <w:color w:val="000000" w:themeColor="text1"/>
        </w:rPr>
        <w:t xml:space="preserve"> en el cumplimiento del</w:t>
      </w:r>
      <w:r w:rsidRPr="00FC519D">
        <w:rPr>
          <w:rFonts w:ascii="Arial" w:hAnsi="Arial" w:cs="Arial"/>
          <w:color w:val="000000" w:themeColor="text1"/>
        </w:rPr>
        <w:t xml:space="preserve"> </w:t>
      </w:r>
      <w:r w:rsidR="00BE743D" w:rsidRPr="00FC519D">
        <w:rPr>
          <w:rFonts w:ascii="Arial" w:hAnsi="Arial" w:cs="Arial"/>
          <w:color w:val="000000" w:themeColor="text1"/>
        </w:rPr>
        <w:t>objeto de este llamado</w:t>
      </w:r>
      <w:r w:rsidR="00D74E2A" w:rsidRPr="00FC519D">
        <w:rPr>
          <w:rFonts w:ascii="Arial" w:hAnsi="Arial" w:cs="Arial"/>
          <w:color w:val="000000" w:themeColor="text1"/>
        </w:rPr>
        <w:t>.</w:t>
      </w:r>
    </w:p>
    <w:p w14:paraId="2FF71B58" w14:textId="77777777" w:rsidR="00C356A6" w:rsidRDefault="00C356A6" w:rsidP="00AB1D2F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69A5F3E4" w14:textId="77777777" w:rsidR="00F42EF5" w:rsidRPr="00F42EF5" w:rsidRDefault="00F42EF5" w:rsidP="00F42EF5">
      <w:pPr>
        <w:pStyle w:val="Prrafodelista"/>
        <w:rPr>
          <w:rFonts w:ascii="Arial" w:hAnsi="Arial" w:cs="Arial"/>
        </w:rPr>
      </w:pPr>
    </w:p>
    <w:p w14:paraId="7ECDC69D" w14:textId="77777777" w:rsidR="00AB1D2F" w:rsidRPr="00AB1D2F" w:rsidRDefault="001A00BC" w:rsidP="00AB1D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AB1D2F">
        <w:rPr>
          <w:rFonts w:ascii="Arial" w:hAnsi="Arial" w:cs="Arial"/>
          <w:color w:val="000000" w:themeColor="text1"/>
        </w:rPr>
        <w:t xml:space="preserve">Los funcionarios que participaron en la redacción del pliego no disponen de información en su poder sobre las tarifas en los medios que se vienen utilizando en otras campañas conforme a lo </w:t>
      </w:r>
      <w:r w:rsidR="00AD2F15" w:rsidRPr="00AB1D2F">
        <w:rPr>
          <w:rFonts w:ascii="Arial" w:hAnsi="Arial" w:cs="Arial"/>
          <w:color w:val="000000" w:themeColor="text1"/>
        </w:rPr>
        <w:t>consultado por los interesado</w:t>
      </w:r>
      <w:r w:rsidR="00AB1D2F" w:rsidRPr="00AB1D2F">
        <w:rPr>
          <w:rFonts w:ascii="Arial" w:hAnsi="Arial" w:cs="Arial"/>
          <w:color w:val="000000" w:themeColor="text1"/>
        </w:rPr>
        <w:t>s</w:t>
      </w:r>
      <w:r w:rsidRPr="00AB1D2F">
        <w:rPr>
          <w:rFonts w:ascii="Arial" w:hAnsi="Arial" w:cs="Arial"/>
          <w:color w:val="000000" w:themeColor="text1"/>
        </w:rPr>
        <w:t xml:space="preserve">  (Art. 14 de la Ley Sobre el Derecho de Acceso a la Información Pública Nº 18.381 de 17 de octubre de 2008)  salvo la que consta e</w:t>
      </w:r>
      <w:r w:rsidR="003D3887" w:rsidRPr="00AB1D2F">
        <w:rPr>
          <w:rFonts w:ascii="Arial" w:hAnsi="Arial" w:cs="Arial"/>
          <w:color w:val="000000" w:themeColor="text1"/>
        </w:rPr>
        <w:t>n el portal</w:t>
      </w:r>
      <w:r w:rsidRPr="00AB1D2F">
        <w:rPr>
          <w:rFonts w:ascii="Arial" w:hAnsi="Arial" w:cs="Arial"/>
          <w:color w:val="000000" w:themeColor="text1"/>
        </w:rPr>
        <w:t xml:space="preserve"> de la Agencia de Compras y Contrataciones Estatales (ACCE) </w:t>
      </w:r>
      <w:r w:rsidR="00AB1D2F" w:rsidRPr="00AB1D2F">
        <w:rPr>
          <w:rFonts w:ascii="Arial" w:hAnsi="Arial" w:cs="Arial"/>
          <w:color w:val="000000" w:themeColor="text1"/>
        </w:rPr>
        <w:t xml:space="preserve">a la que se podrá acceder </w:t>
      </w:r>
      <w:r w:rsidR="00AD2F15" w:rsidRPr="00AB1D2F">
        <w:rPr>
          <w:rFonts w:ascii="Arial" w:hAnsi="Arial" w:cs="Arial"/>
          <w:color w:val="000000" w:themeColor="text1"/>
        </w:rPr>
        <w:t>a través del</w:t>
      </w:r>
      <w:r w:rsidRPr="00AB1D2F">
        <w:rPr>
          <w:rFonts w:ascii="Arial" w:hAnsi="Arial" w:cs="Arial"/>
          <w:color w:val="000000" w:themeColor="text1"/>
        </w:rPr>
        <w:t xml:space="preserve"> link</w:t>
      </w:r>
      <w:r w:rsidR="003D3887" w:rsidRPr="00AB1D2F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3D3887" w:rsidRPr="00AB1D2F">
          <w:rPr>
            <w:i/>
            <w:color w:val="000000" w:themeColor="text1"/>
          </w:rPr>
          <w:t>https://www.comprasestatales.gub.uy/consultas</w:t>
        </w:r>
      </w:hyperlink>
      <w:r w:rsidR="003D3887" w:rsidRPr="00AB1D2F">
        <w:rPr>
          <w:rFonts w:ascii="Arial" w:hAnsi="Arial" w:cs="Arial"/>
          <w:i/>
          <w:color w:val="000000" w:themeColor="text1"/>
        </w:rPr>
        <w:t xml:space="preserve"> </w:t>
      </w:r>
      <w:r w:rsidR="00AD2F15" w:rsidRPr="00AB1D2F">
        <w:rPr>
          <w:rFonts w:ascii="Arial" w:hAnsi="Arial" w:cs="Arial"/>
          <w:color w:val="000000" w:themeColor="text1"/>
        </w:rPr>
        <w:t>con</w:t>
      </w:r>
      <w:r w:rsidR="003D3887" w:rsidRPr="00AB1D2F">
        <w:rPr>
          <w:rFonts w:ascii="Arial" w:hAnsi="Arial" w:cs="Arial"/>
          <w:color w:val="000000" w:themeColor="text1"/>
        </w:rPr>
        <w:t xml:space="preserve"> la información pública de las contrataciones estatales.</w:t>
      </w:r>
    </w:p>
    <w:p w14:paraId="5FAD9742" w14:textId="37496700" w:rsidR="003D3887" w:rsidRPr="006D76CA" w:rsidRDefault="00AB1D2F" w:rsidP="00AB1D2F">
      <w:pPr>
        <w:pStyle w:val="Prrafodelista"/>
        <w:jc w:val="both"/>
        <w:rPr>
          <w:rFonts w:ascii="Arial" w:hAnsi="Arial" w:cs="Arial"/>
          <w:b/>
          <w:i/>
          <w:u w:val="single"/>
        </w:rPr>
      </w:pPr>
      <w:r w:rsidRPr="006D76CA">
        <w:rPr>
          <w:rFonts w:ascii="Arial" w:hAnsi="Arial" w:cs="Arial"/>
          <w:b/>
          <w:i/>
          <w:u w:val="single"/>
        </w:rPr>
        <w:t xml:space="preserve"> </w:t>
      </w:r>
    </w:p>
    <w:p w14:paraId="56B2C01E" w14:textId="77777777" w:rsidR="00F42EF5" w:rsidRDefault="00F42EF5" w:rsidP="004D31C1">
      <w:pPr>
        <w:jc w:val="both"/>
        <w:rPr>
          <w:rFonts w:ascii="Arial" w:hAnsi="Arial" w:cs="Arial"/>
        </w:rPr>
      </w:pPr>
    </w:p>
    <w:p w14:paraId="7E63B39A" w14:textId="77777777" w:rsidR="00407C36" w:rsidRDefault="00407C36" w:rsidP="00407C36">
      <w:pPr>
        <w:pStyle w:val="Ttulo1"/>
        <w:spacing w:line="320" w:lineRule="exac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i/>
          <w:u w:val="single"/>
          <w:lang w:val="es-UY"/>
        </w:rPr>
        <w:t xml:space="preserve">SE MODIFICA  EL NUMERAL 23 de “FORMA DE PAGO” </w:t>
      </w:r>
      <w:r w:rsidRPr="002C1AF3">
        <w:rPr>
          <w:rFonts w:ascii="Arial" w:hAnsi="Arial" w:cs="Arial"/>
          <w:b/>
          <w:i/>
          <w:u w:val="single"/>
          <w:lang w:val="es-UY"/>
        </w:rPr>
        <w:t>EL QUE QUEDARÁ REDACTADO DE LA SIGUIENTE FORMA:</w:t>
      </w:r>
      <w:r>
        <w:rPr>
          <w:rFonts w:ascii="Arial" w:hAnsi="Arial" w:cs="Arial"/>
          <w:b/>
          <w:i/>
          <w:u w:val="single"/>
          <w:lang w:val="es-UY"/>
        </w:rPr>
        <w:t xml:space="preserve"> </w:t>
      </w:r>
    </w:p>
    <w:p w14:paraId="3372568F" w14:textId="7D658882" w:rsidR="00407C36" w:rsidRPr="007746F9" w:rsidRDefault="00407C36" w:rsidP="00407C36">
      <w:pPr>
        <w:jc w:val="both"/>
        <w:rPr>
          <w:rFonts w:ascii="Arial" w:hAnsi="Arial" w:cs="Arial"/>
        </w:rPr>
      </w:pPr>
      <w:r w:rsidRPr="007746F9">
        <w:rPr>
          <w:rFonts w:ascii="Arial" w:hAnsi="Arial" w:cs="Arial"/>
          <w:bCs/>
        </w:rPr>
        <w:t xml:space="preserve">El valor del contrato se abonará al adjudicatario por el Sistema Integrado de Información Financiera de la Contaduría General de la Nación (S.I.I.F. de C.G.N.) en moneda nacional, </w:t>
      </w:r>
      <w:r w:rsidRPr="007746F9">
        <w:rPr>
          <w:rFonts w:ascii="Arial" w:hAnsi="Arial" w:cs="Arial"/>
        </w:rPr>
        <w:t>de la siguiente forma,</w:t>
      </w:r>
      <w:r w:rsidRPr="007746F9">
        <w:rPr>
          <w:rFonts w:ascii="Arial" w:hAnsi="Arial" w:cs="Arial"/>
          <w:bCs/>
        </w:rPr>
        <w:t xml:space="preserve"> una vez conformada la factura correspondiente y siempre que se haya </w:t>
      </w:r>
      <w:r>
        <w:rPr>
          <w:rFonts w:ascii="Arial" w:hAnsi="Arial" w:cs="Arial"/>
          <w:bCs/>
        </w:rPr>
        <w:t>cumplido</w:t>
      </w:r>
      <w:r w:rsidRPr="007746F9">
        <w:rPr>
          <w:rFonts w:ascii="Arial" w:hAnsi="Arial" w:cs="Arial"/>
          <w:bCs/>
        </w:rPr>
        <w:t xml:space="preserve"> la contratación en perfectas condiciones, de todo lo cual se cerciorará la Administración</w:t>
      </w:r>
      <w:r w:rsidRPr="007746F9">
        <w:rPr>
          <w:rFonts w:ascii="Arial" w:hAnsi="Arial" w:cs="Arial"/>
        </w:rPr>
        <w:t>:</w:t>
      </w:r>
    </w:p>
    <w:p w14:paraId="1D050989" w14:textId="77777777" w:rsidR="00407C36" w:rsidRDefault="00407C36" w:rsidP="00407C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81508">
        <w:rPr>
          <w:rFonts w:ascii="Arial" w:hAnsi="Arial" w:cs="Arial"/>
        </w:rPr>
        <w:t xml:space="preserve">El primer pago será del 30 % del </w:t>
      </w:r>
      <w:r w:rsidRPr="00407C36">
        <w:rPr>
          <w:rFonts w:ascii="Arial" w:hAnsi="Arial" w:cs="Arial"/>
        </w:rPr>
        <w:t xml:space="preserve">precio por año de </w:t>
      </w:r>
      <w:r>
        <w:rPr>
          <w:rFonts w:ascii="Arial" w:hAnsi="Arial" w:cs="Arial"/>
        </w:rPr>
        <w:t>contrato y</w:t>
      </w:r>
      <w:r w:rsidRPr="00081508">
        <w:rPr>
          <w:rFonts w:ascii="Arial" w:hAnsi="Arial" w:cs="Arial"/>
        </w:rPr>
        <w:t xml:space="preserve"> se abonará bajo condición que se presente, a la Administración, el Proyecto de la campaña con el Plan de medios anual.</w:t>
      </w:r>
    </w:p>
    <w:p w14:paraId="32CF0EBE" w14:textId="77777777" w:rsidR="00407C36" w:rsidRDefault="00407C36" w:rsidP="00407C3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BA7BDDF" w14:textId="77777777" w:rsidR="00407C36" w:rsidRDefault="00407C36" w:rsidP="002150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07C36">
        <w:rPr>
          <w:rFonts w:ascii="Arial" w:hAnsi="Arial" w:cs="Arial"/>
        </w:rPr>
        <w:t>El segundo pago será del 30 % del precio por año de contrato y se abonará una vez ejecutado el primer semestre del contrato.</w:t>
      </w:r>
    </w:p>
    <w:p w14:paraId="4F503770" w14:textId="77777777" w:rsidR="00407C36" w:rsidRPr="00407C36" w:rsidRDefault="00407C36" w:rsidP="00407C36">
      <w:pPr>
        <w:pStyle w:val="Prrafodelista"/>
        <w:rPr>
          <w:rFonts w:ascii="Arial" w:hAnsi="Arial" w:cs="Arial"/>
        </w:rPr>
      </w:pPr>
    </w:p>
    <w:p w14:paraId="1F1A0AC6" w14:textId="6EF405C8" w:rsidR="00407C36" w:rsidRPr="00407C36" w:rsidRDefault="00407C36" w:rsidP="002150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07C36">
        <w:rPr>
          <w:rFonts w:ascii="Arial" w:hAnsi="Arial" w:cs="Arial"/>
        </w:rPr>
        <w:t>El saldo, es decir el 40% restante, se abonará una vez ejecutada el resto de la campaña publicitaria</w:t>
      </w:r>
      <w:r>
        <w:rPr>
          <w:rFonts w:ascii="Arial" w:hAnsi="Arial" w:cs="Arial"/>
        </w:rPr>
        <w:t>,</w:t>
      </w:r>
      <w:r w:rsidRPr="00407C36">
        <w:rPr>
          <w:rFonts w:ascii="Arial" w:hAnsi="Arial" w:cs="Arial"/>
        </w:rPr>
        <w:t xml:space="preserve"> aprobada </w:t>
      </w:r>
      <w:r>
        <w:rPr>
          <w:rFonts w:ascii="Arial" w:hAnsi="Arial" w:cs="Arial"/>
        </w:rPr>
        <w:t xml:space="preserve">y </w:t>
      </w:r>
      <w:r w:rsidRPr="00407C36">
        <w:rPr>
          <w:rFonts w:ascii="Arial" w:hAnsi="Arial" w:cs="Arial"/>
        </w:rPr>
        <w:t>prevista para el primer año de contrato.</w:t>
      </w:r>
    </w:p>
    <w:p w14:paraId="4E12658F" w14:textId="77777777" w:rsidR="00407C36" w:rsidRDefault="00407C36" w:rsidP="00407C36">
      <w:pPr>
        <w:jc w:val="both"/>
        <w:rPr>
          <w:rFonts w:ascii="Arial" w:hAnsi="Arial" w:cs="Arial"/>
        </w:rPr>
      </w:pPr>
    </w:p>
    <w:p w14:paraId="713F3736" w14:textId="77777777" w:rsidR="00407C36" w:rsidRDefault="00407C36" w:rsidP="00407C36">
      <w:pPr>
        <w:jc w:val="both"/>
        <w:rPr>
          <w:rFonts w:ascii="Arial" w:hAnsi="Arial" w:cs="Arial"/>
        </w:rPr>
      </w:pPr>
      <w:r w:rsidRPr="00902B90">
        <w:rPr>
          <w:rFonts w:ascii="Arial" w:hAnsi="Arial" w:cs="Arial"/>
        </w:rPr>
        <w:t xml:space="preserve">Para el segundo año de contrato se reiterará la forma de pago prevista para el primero, a excepción del último 40 % </w:t>
      </w:r>
      <w:r>
        <w:rPr>
          <w:rFonts w:ascii="Arial" w:hAnsi="Arial" w:cs="Arial"/>
        </w:rPr>
        <w:t xml:space="preserve">que quedará, además, </w:t>
      </w:r>
      <w:r w:rsidRPr="00902B90">
        <w:rPr>
          <w:rFonts w:ascii="Arial" w:hAnsi="Arial" w:cs="Arial"/>
        </w:rPr>
        <w:t xml:space="preserve">condicionado a la entrega, a la Administración, de todos los materiales publicitarios conforme al </w:t>
      </w:r>
      <w:r>
        <w:rPr>
          <w:rFonts w:ascii="Arial" w:hAnsi="Arial" w:cs="Arial"/>
        </w:rPr>
        <w:t>Numeral</w:t>
      </w:r>
      <w:r w:rsidRPr="00902B90">
        <w:rPr>
          <w:rFonts w:ascii="Arial" w:hAnsi="Arial" w:cs="Arial"/>
        </w:rPr>
        <w:t xml:space="preserve"> 18 de este pliego.</w:t>
      </w:r>
    </w:p>
    <w:p w14:paraId="58A975BA" w14:textId="2135F407" w:rsidR="00407C36" w:rsidRPr="007746F9" w:rsidRDefault="00407C36" w:rsidP="00407C36">
      <w:pPr>
        <w:jc w:val="both"/>
        <w:rPr>
          <w:rFonts w:ascii="Arial" w:hAnsi="Arial" w:cs="Arial"/>
        </w:rPr>
      </w:pPr>
      <w:r w:rsidRPr="007746F9">
        <w:rPr>
          <w:rFonts w:ascii="Arial" w:hAnsi="Arial" w:cs="Arial"/>
        </w:rPr>
        <w:t>Será indispensable que se adjunte a la respectiva factura el detalle de las publicidades efectivamente realizadas.</w:t>
      </w:r>
    </w:p>
    <w:p w14:paraId="02E5A75F" w14:textId="77777777" w:rsidR="00407C36" w:rsidRPr="00407C36" w:rsidRDefault="00407C36" w:rsidP="00407C36">
      <w:pPr>
        <w:pStyle w:val="Prrafodelista"/>
        <w:jc w:val="both"/>
        <w:rPr>
          <w:rFonts w:ascii="Arial" w:hAnsi="Arial" w:cs="Arial"/>
        </w:rPr>
      </w:pPr>
    </w:p>
    <w:p w14:paraId="22811824" w14:textId="04EAAA23" w:rsidR="00F42EF5" w:rsidRDefault="003D1196" w:rsidP="006D7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la brevedad se publicarán</w:t>
      </w:r>
      <w:r w:rsidR="00AD2F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el portal del llamado</w:t>
      </w:r>
      <w:r w:rsidR="00AD2F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los logotipos vectoriales que componen la campaña.</w:t>
      </w:r>
    </w:p>
    <w:p w14:paraId="4D87DD5E" w14:textId="77777777" w:rsidR="003D1196" w:rsidRPr="006D76CA" w:rsidRDefault="003D1196" w:rsidP="006D76CA">
      <w:pPr>
        <w:pStyle w:val="Prrafodelista"/>
        <w:jc w:val="both"/>
        <w:rPr>
          <w:rFonts w:ascii="Arial" w:hAnsi="Arial" w:cs="Arial"/>
        </w:rPr>
      </w:pPr>
    </w:p>
    <w:p w14:paraId="036ADDAC" w14:textId="216CA568" w:rsidR="004D31C1" w:rsidRPr="00AB1D2F" w:rsidRDefault="004D31C1" w:rsidP="00AB1D2F">
      <w:pPr>
        <w:pStyle w:val="Prrafodelista"/>
        <w:jc w:val="both"/>
        <w:rPr>
          <w:rFonts w:ascii="Arial" w:hAnsi="Arial" w:cs="Arial"/>
          <w:color w:val="000000" w:themeColor="text1"/>
          <w:highlight w:val="yellow"/>
        </w:rPr>
      </w:pPr>
    </w:p>
    <w:p w14:paraId="35C6D10C" w14:textId="77777777" w:rsidR="00FE79DF" w:rsidRPr="00AB1D2F" w:rsidRDefault="00AD2F15" w:rsidP="00AB1D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color w:val="000000" w:themeColor="text1"/>
        </w:rPr>
      </w:pPr>
      <w:r w:rsidRPr="00AB1D2F">
        <w:rPr>
          <w:rFonts w:ascii="Arial" w:hAnsi="Arial" w:cs="Arial"/>
          <w:color w:val="000000" w:themeColor="text1"/>
        </w:rPr>
        <w:t>En su consulta,</w:t>
      </w:r>
      <w:r w:rsidR="00FE79DF" w:rsidRPr="00AB1D2F">
        <w:rPr>
          <w:rFonts w:ascii="Arial" w:hAnsi="Arial" w:cs="Arial"/>
          <w:color w:val="000000" w:themeColor="text1"/>
        </w:rPr>
        <w:t xml:space="preserve"> 4 Ojos Comunicadores – </w:t>
      </w:r>
      <w:proofErr w:type="spellStart"/>
      <w:r w:rsidR="00FE79DF" w:rsidRPr="00AB1D2F">
        <w:rPr>
          <w:rFonts w:ascii="Arial" w:hAnsi="Arial" w:cs="Arial"/>
          <w:color w:val="000000" w:themeColor="text1"/>
        </w:rPr>
        <w:t>Probal</w:t>
      </w:r>
      <w:proofErr w:type="spellEnd"/>
      <w:r w:rsidR="00FE79DF" w:rsidRPr="00AB1D2F">
        <w:rPr>
          <w:rFonts w:ascii="Arial" w:hAnsi="Arial" w:cs="Arial"/>
          <w:color w:val="000000" w:themeColor="text1"/>
        </w:rPr>
        <w:t xml:space="preserve"> S.A.</w:t>
      </w:r>
      <w:r w:rsidR="009D28A3" w:rsidRPr="00AB1D2F">
        <w:rPr>
          <w:rFonts w:ascii="Arial" w:hAnsi="Arial" w:cs="Arial"/>
          <w:color w:val="000000" w:themeColor="text1"/>
        </w:rPr>
        <w:t xml:space="preserve">, </w:t>
      </w:r>
      <w:r w:rsidRPr="00AB1D2F">
        <w:rPr>
          <w:rFonts w:ascii="Arial" w:hAnsi="Arial" w:cs="Arial"/>
          <w:color w:val="000000" w:themeColor="text1"/>
        </w:rPr>
        <w:t>expresa</w:t>
      </w:r>
      <w:r w:rsidR="004D31C1" w:rsidRPr="00AB1D2F">
        <w:rPr>
          <w:rFonts w:ascii="Arial" w:hAnsi="Arial" w:cs="Arial"/>
          <w:color w:val="000000" w:themeColor="text1"/>
        </w:rPr>
        <w:t xml:space="preserve"> que</w:t>
      </w:r>
      <w:r w:rsidR="00FE79DF" w:rsidRPr="00AB1D2F">
        <w:rPr>
          <w:rFonts w:ascii="Arial" w:hAnsi="Arial" w:cs="Arial"/>
          <w:color w:val="000000" w:themeColor="text1"/>
        </w:rPr>
        <w:t xml:space="preserve">, </w:t>
      </w:r>
      <w:r w:rsidR="00FE79DF" w:rsidRPr="00AB1D2F">
        <w:rPr>
          <w:rFonts w:ascii="Arial" w:hAnsi="Arial" w:cs="Arial"/>
          <w:b/>
          <w:i/>
          <w:color w:val="000000" w:themeColor="text1"/>
        </w:rPr>
        <w:t>“Al ser el Ministerio de Ganadería, Agricultura y Pesca la entidad convocante, en los cálculos del Plan de Medios que se presenten por esta licitación ¿los oferentes deberemos aplicar la ley 18.362, Artículo 286, donde TNU y las radio del SODRE recaudan el 20% obligatorio del total asignado a TV y Radio, respectivamente?</w:t>
      </w:r>
    </w:p>
    <w:p w14:paraId="274E90BA" w14:textId="77777777" w:rsidR="00FE79DF" w:rsidRDefault="00FE79DF" w:rsidP="00AB1D2F">
      <w:pPr>
        <w:pStyle w:val="Prrafodelista"/>
        <w:jc w:val="both"/>
        <w:rPr>
          <w:rFonts w:ascii="Arial" w:hAnsi="Arial" w:cs="Arial"/>
          <w:b/>
          <w:i/>
          <w:color w:val="000000" w:themeColor="text1"/>
        </w:rPr>
      </w:pPr>
      <w:r w:rsidRPr="00AB1D2F">
        <w:rPr>
          <w:rFonts w:ascii="Arial" w:hAnsi="Arial" w:cs="Arial"/>
          <w:b/>
          <w:i/>
          <w:color w:val="000000" w:themeColor="text1"/>
        </w:rPr>
        <w:t>Como recordarán, esta ley es aplicable para organismos del Estado, empresas públicas y la Administración Central.”</w:t>
      </w:r>
    </w:p>
    <w:p w14:paraId="4C2937E7" w14:textId="77777777" w:rsidR="00AB1D2F" w:rsidRPr="00AB1D2F" w:rsidRDefault="00AB1D2F" w:rsidP="00AB1D2F">
      <w:pPr>
        <w:pStyle w:val="Prrafodelista"/>
        <w:jc w:val="both"/>
        <w:rPr>
          <w:rFonts w:ascii="Arial" w:hAnsi="Arial" w:cs="Arial"/>
          <w:b/>
          <w:i/>
          <w:color w:val="000000" w:themeColor="text1"/>
        </w:rPr>
      </w:pPr>
    </w:p>
    <w:p w14:paraId="0C130178" w14:textId="77777777" w:rsidR="00FE79DF" w:rsidRPr="00AB1D2F" w:rsidRDefault="00FE79DF" w:rsidP="00AB1D2F">
      <w:pPr>
        <w:pStyle w:val="Prrafodelista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AB1D2F">
        <w:rPr>
          <w:rFonts w:ascii="Arial" w:hAnsi="Arial" w:cs="Arial"/>
          <w:b/>
          <w:i/>
          <w:color w:val="000000" w:themeColor="text1"/>
          <w:u w:val="single"/>
        </w:rPr>
        <w:t>Se aclara que:</w:t>
      </w:r>
    </w:p>
    <w:p w14:paraId="502C2086" w14:textId="77777777" w:rsidR="00FE79DF" w:rsidRPr="00AB1D2F" w:rsidRDefault="00FE79DF" w:rsidP="00AB1D2F">
      <w:pPr>
        <w:pStyle w:val="Prrafodelista"/>
        <w:jc w:val="both"/>
        <w:rPr>
          <w:rFonts w:ascii="Arial" w:hAnsi="Arial" w:cs="Arial"/>
          <w:b/>
          <w:color w:val="000000" w:themeColor="text1"/>
        </w:rPr>
      </w:pPr>
      <w:r w:rsidRPr="00AB1D2F">
        <w:rPr>
          <w:rFonts w:ascii="Arial" w:hAnsi="Arial" w:cs="Arial"/>
          <w:color w:val="000000" w:themeColor="text1"/>
        </w:rPr>
        <w:t xml:space="preserve">El art. 286 de la ley 18.362 </w:t>
      </w:r>
      <w:r w:rsidR="004D31C1" w:rsidRPr="00AB1D2F">
        <w:rPr>
          <w:rFonts w:ascii="Arial" w:hAnsi="Arial" w:cs="Arial"/>
          <w:color w:val="000000" w:themeColor="text1"/>
        </w:rPr>
        <w:t>de 6 de octubre de 2008, aludido en la consulta</w:t>
      </w:r>
      <w:r w:rsidR="009D28A3" w:rsidRPr="00AB1D2F">
        <w:rPr>
          <w:rFonts w:ascii="Arial" w:hAnsi="Arial" w:cs="Arial"/>
          <w:color w:val="000000" w:themeColor="text1"/>
        </w:rPr>
        <w:t>,</w:t>
      </w:r>
      <w:r w:rsidR="004D31C1" w:rsidRPr="00AB1D2F">
        <w:rPr>
          <w:rFonts w:ascii="Arial" w:hAnsi="Arial" w:cs="Arial"/>
          <w:color w:val="000000" w:themeColor="text1"/>
        </w:rPr>
        <w:t xml:space="preserve"> tiene que ver con </w:t>
      </w:r>
      <w:r w:rsidRPr="00AB1D2F">
        <w:rPr>
          <w:rFonts w:ascii="Arial" w:hAnsi="Arial" w:cs="Arial"/>
          <w:color w:val="000000" w:themeColor="text1"/>
        </w:rPr>
        <w:t xml:space="preserve">la comisión que se paga por el Inciso 11 "Ministerio de Educación y Cultura", Unidades Ejecutoras 016 "Servicio Oficial de Difusión, Radiotelevisión y Espectáculos" y 024 "Canal 5 - Servicio de Televisión Nacional" </w:t>
      </w:r>
      <w:r w:rsidR="004D31C1" w:rsidRPr="00AB1D2F">
        <w:rPr>
          <w:rFonts w:ascii="Arial" w:hAnsi="Arial" w:cs="Arial"/>
          <w:color w:val="000000" w:themeColor="text1"/>
        </w:rPr>
        <w:t xml:space="preserve">por concepto de ventas publicitarias a agentes de venta independientes o contratados por los </w:t>
      </w:r>
      <w:r w:rsidR="004D31C1" w:rsidRPr="00AB1D2F">
        <w:rPr>
          <w:rFonts w:ascii="Arial" w:hAnsi="Arial" w:cs="Arial"/>
          <w:color w:val="000000" w:themeColor="text1"/>
        </w:rPr>
        <w:lastRenderedPageBreak/>
        <w:t xml:space="preserve">propios medios de difusión estatales o agencias de publicidad, registrados como proveedores estatales, luego de realizada la cobranza efectiva de la publicidad, en un porcentaje que podrá ser de hasta un 18% (dieciocho por ciento) de los montos efectivamente cobrados. </w:t>
      </w:r>
      <w:r w:rsidR="004D31C1" w:rsidRPr="00AB1D2F">
        <w:rPr>
          <w:rFonts w:ascii="Arial" w:hAnsi="Arial" w:cs="Arial"/>
          <w:b/>
          <w:color w:val="000000" w:themeColor="text1"/>
        </w:rPr>
        <w:t>No teniendo que ver con el objeto de este llamado.</w:t>
      </w:r>
    </w:p>
    <w:p w14:paraId="41D83D28" w14:textId="37256C95" w:rsidR="00FE79DF" w:rsidRDefault="004D31C1" w:rsidP="00AB1D2F">
      <w:pPr>
        <w:pStyle w:val="Prrafodelista"/>
        <w:jc w:val="both"/>
        <w:rPr>
          <w:rFonts w:ascii="Arial" w:hAnsi="Arial" w:cs="Arial"/>
          <w:color w:val="000000" w:themeColor="text1"/>
        </w:rPr>
      </w:pPr>
      <w:r w:rsidRPr="00AB1D2F">
        <w:rPr>
          <w:rFonts w:ascii="Arial" w:hAnsi="Arial" w:cs="Arial"/>
          <w:color w:val="000000" w:themeColor="text1"/>
        </w:rPr>
        <w:t xml:space="preserve">Sin embargo, </w:t>
      </w:r>
      <w:r w:rsidRPr="00AB1D2F">
        <w:rPr>
          <w:rFonts w:ascii="Arial" w:hAnsi="Arial" w:cs="Arial"/>
          <w:b/>
          <w:i/>
          <w:color w:val="000000" w:themeColor="text1"/>
        </w:rPr>
        <w:t>sí es aplicable el art. 17 de la Ley Nº 17.904 de 7 de octubre de 2005  que reza,</w:t>
      </w:r>
      <w:r w:rsidRPr="00AB1D2F">
        <w:rPr>
          <w:rFonts w:ascii="Arial" w:hAnsi="Arial" w:cs="Arial"/>
          <w:color w:val="000000" w:themeColor="text1"/>
        </w:rPr>
        <w:t xml:space="preserve"> “El 20 % (veinte por ciento) de las pautas publicitarias en televisión y radio que contraten por todo concepto y bajo cualquier modalidad los órganos del Poder Ejecutivo, entes autónomos y servicios descentralizados, serán contratadas con Canal 5 - Servicio de Televisión Nacional y con las radiodifusoras del Servicio Oficial de Difusión, Radiotelevisión y Espectáculos (SODRE).”</w:t>
      </w:r>
    </w:p>
    <w:p w14:paraId="4A53B3AB" w14:textId="77777777" w:rsidR="002E02AE" w:rsidRDefault="002E02AE" w:rsidP="00AB1D2F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08207247" w14:textId="77777777" w:rsidR="002E02AE" w:rsidRPr="00AB1D2F" w:rsidRDefault="002E02AE" w:rsidP="00AB1D2F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1FAF0F4F" w14:textId="3AE40D9D" w:rsidR="00E06C9F" w:rsidRPr="00802F4E" w:rsidRDefault="00802F4E" w:rsidP="00802F4E">
      <w:pPr>
        <w:jc w:val="right"/>
        <w:rPr>
          <w:rFonts w:ascii="Arial" w:hAnsi="Arial" w:cs="Arial"/>
          <w:b/>
          <w:i/>
        </w:rPr>
      </w:pPr>
      <w:r w:rsidRPr="00802F4E">
        <w:rPr>
          <w:rFonts w:ascii="Arial" w:hAnsi="Arial" w:cs="Arial"/>
          <w:b/>
          <w:i/>
        </w:rPr>
        <w:t xml:space="preserve">Montevideo, </w:t>
      </w:r>
      <w:r w:rsidR="00D940DA">
        <w:rPr>
          <w:rFonts w:ascii="Arial" w:hAnsi="Arial" w:cs="Arial"/>
          <w:b/>
          <w:i/>
        </w:rPr>
        <w:t>11</w:t>
      </w:r>
      <w:r w:rsidR="004D31C1">
        <w:rPr>
          <w:rFonts w:ascii="Arial" w:hAnsi="Arial" w:cs="Arial"/>
          <w:b/>
          <w:i/>
        </w:rPr>
        <w:t xml:space="preserve"> </w:t>
      </w:r>
      <w:r w:rsidRPr="00802F4E">
        <w:rPr>
          <w:rFonts w:ascii="Arial" w:hAnsi="Arial" w:cs="Arial"/>
          <w:b/>
          <w:i/>
        </w:rPr>
        <w:t xml:space="preserve">de </w:t>
      </w:r>
      <w:r w:rsidR="00D940DA">
        <w:rPr>
          <w:rFonts w:ascii="Arial" w:hAnsi="Arial" w:cs="Arial"/>
          <w:b/>
          <w:i/>
        </w:rPr>
        <w:t>mayo</w:t>
      </w:r>
      <w:bookmarkStart w:id="0" w:name="_GoBack"/>
      <w:bookmarkEnd w:id="0"/>
      <w:r w:rsidRPr="00802F4E">
        <w:rPr>
          <w:rFonts w:ascii="Arial" w:hAnsi="Arial" w:cs="Arial"/>
          <w:b/>
          <w:i/>
        </w:rPr>
        <w:t xml:space="preserve"> de 2018.</w:t>
      </w:r>
    </w:p>
    <w:sectPr w:rsidR="00E06C9F" w:rsidRPr="00802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734553" w16cid:durableId="1E9B142C"/>
  <w16cid:commentId w16cid:paraId="4F375F56" w16cid:durableId="1E9B144F"/>
  <w16cid:commentId w16cid:paraId="1A514C72" w16cid:durableId="1E9B1253"/>
  <w16cid:commentId w16cid:paraId="3BEE81F6" w16cid:durableId="1E9B12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743"/>
    <w:multiLevelType w:val="hybridMultilevel"/>
    <w:tmpl w:val="B82A9A34"/>
    <w:lvl w:ilvl="0" w:tplc="2954E1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F64"/>
    <w:multiLevelType w:val="hybridMultilevel"/>
    <w:tmpl w:val="C598F49E"/>
    <w:lvl w:ilvl="0" w:tplc="DF8A39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6107"/>
    <w:multiLevelType w:val="hybridMultilevel"/>
    <w:tmpl w:val="B82A9A34"/>
    <w:lvl w:ilvl="0" w:tplc="2954E1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35F2"/>
    <w:multiLevelType w:val="hybridMultilevel"/>
    <w:tmpl w:val="DFFC8B5C"/>
    <w:lvl w:ilvl="0" w:tplc="88F210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303BB"/>
    <w:multiLevelType w:val="hybridMultilevel"/>
    <w:tmpl w:val="09EE553C"/>
    <w:lvl w:ilvl="0" w:tplc="AFA62A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83"/>
    <w:rsid w:val="00000B16"/>
    <w:rsid w:val="000959D3"/>
    <w:rsid w:val="000A78D6"/>
    <w:rsid w:val="000B5CEC"/>
    <w:rsid w:val="000D3A53"/>
    <w:rsid w:val="000F2BAA"/>
    <w:rsid w:val="000F7018"/>
    <w:rsid w:val="00122318"/>
    <w:rsid w:val="001A00BC"/>
    <w:rsid w:val="001A1D87"/>
    <w:rsid w:val="001E60EE"/>
    <w:rsid w:val="0022158F"/>
    <w:rsid w:val="002224CC"/>
    <w:rsid w:val="00264F3F"/>
    <w:rsid w:val="002674B8"/>
    <w:rsid w:val="002C1AF3"/>
    <w:rsid w:val="002E02AE"/>
    <w:rsid w:val="003245DA"/>
    <w:rsid w:val="00386C0A"/>
    <w:rsid w:val="003B5903"/>
    <w:rsid w:val="003D1196"/>
    <w:rsid w:val="003D3887"/>
    <w:rsid w:val="00407C36"/>
    <w:rsid w:val="00467F4F"/>
    <w:rsid w:val="004C0903"/>
    <w:rsid w:val="004D31C1"/>
    <w:rsid w:val="005176C8"/>
    <w:rsid w:val="00534CAE"/>
    <w:rsid w:val="00535D8E"/>
    <w:rsid w:val="00540630"/>
    <w:rsid w:val="00612D24"/>
    <w:rsid w:val="00623BEA"/>
    <w:rsid w:val="006D6F05"/>
    <w:rsid w:val="006D76CA"/>
    <w:rsid w:val="00802F4E"/>
    <w:rsid w:val="008625BE"/>
    <w:rsid w:val="009565B7"/>
    <w:rsid w:val="009619B5"/>
    <w:rsid w:val="00971B40"/>
    <w:rsid w:val="009D28A3"/>
    <w:rsid w:val="00A34259"/>
    <w:rsid w:val="00AB1D2F"/>
    <w:rsid w:val="00AD2F15"/>
    <w:rsid w:val="00B913A1"/>
    <w:rsid w:val="00BA1583"/>
    <w:rsid w:val="00BE743D"/>
    <w:rsid w:val="00C23900"/>
    <w:rsid w:val="00C356A6"/>
    <w:rsid w:val="00C4785A"/>
    <w:rsid w:val="00CB6CE9"/>
    <w:rsid w:val="00D74E2A"/>
    <w:rsid w:val="00D940DA"/>
    <w:rsid w:val="00E06C9F"/>
    <w:rsid w:val="00E06FB6"/>
    <w:rsid w:val="00E46D5A"/>
    <w:rsid w:val="00E522B1"/>
    <w:rsid w:val="00E70788"/>
    <w:rsid w:val="00E81133"/>
    <w:rsid w:val="00ED375A"/>
    <w:rsid w:val="00F1495A"/>
    <w:rsid w:val="00F42EF5"/>
    <w:rsid w:val="00F57E58"/>
    <w:rsid w:val="00FC519D"/>
    <w:rsid w:val="00FD3FF9"/>
    <w:rsid w:val="00FE79DF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E2BB"/>
  <w15:chartTrackingRefBased/>
  <w15:docId w15:val="{D0656D66-E0C7-4004-A2C9-9589B938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7C36"/>
    <w:pPr>
      <w:keepNext/>
      <w:tabs>
        <w:tab w:val="left" w:pos="-1440"/>
        <w:tab w:val="left" w:pos="318"/>
      </w:tabs>
      <w:spacing w:after="120" w:line="240" w:lineRule="auto"/>
      <w:ind w:right="720"/>
      <w:jc w:val="both"/>
      <w:outlineLvl w:val="0"/>
    </w:pPr>
    <w:rPr>
      <w:rFonts w:ascii="CG Times" w:eastAsia="Times New Roman" w:hAnsi="CG Times" w:cs="Times New Roman"/>
      <w:snapToGrid w:val="0"/>
      <w:color w:val="000000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1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4B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35D8E"/>
    <w:pPr>
      <w:spacing w:after="0" w:line="240" w:lineRule="auto"/>
      <w:ind w:right="141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5D8E"/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388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388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1C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478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78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78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8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85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407C36"/>
    <w:rPr>
      <w:rFonts w:ascii="CG Times" w:eastAsia="Times New Roman" w:hAnsi="CG Times" w:cs="Times New Roman"/>
      <w:snapToGrid w:val="0"/>
      <w:color w:val="00000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13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E6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E60E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rasestatales.gub.uy/consultas" TargetMode="External"/><Relationship Id="rId5" Type="http://schemas.openxmlformats.org/officeDocument/2006/relationships/hyperlink" Target="http://www.mgap.gub.uy/notic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1637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Gastelumendi Vilaboa Maria del Pilar</dc:creator>
  <cp:keywords/>
  <dc:description/>
  <cp:lastModifiedBy>Gastelumendi Vilaboa Maria del Pilar</cp:lastModifiedBy>
  <cp:revision>7</cp:revision>
  <cp:lastPrinted>2018-04-20T15:12:00Z</cp:lastPrinted>
  <dcterms:created xsi:type="dcterms:W3CDTF">2018-05-11T14:52:00Z</dcterms:created>
  <dcterms:modified xsi:type="dcterms:W3CDTF">2018-05-11T16:13:00Z</dcterms:modified>
</cp:coreProperties>
</file>