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media/image1.jpeg" ContentType="image/jpeg"/>
  <Override PartName="/word/media/image2.jpeg" ContentType="image/jpeg"/>
  <Override PartName="/word/media/image3.png" ContentType="image/png"/>
  <Override PartName="/word/media/image4.jpeg" ContentType="image/jpeg"/>
  <Override PartName="/word/media/image5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216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301"/>
        <w:gridCol w:w="6023"/>
        <w:gridCol w:w="1321"/>
      </w:tblGrid>
      <w:tr>
        <w:trPr>
          <w:cantSplit w:val="false"/>
        </w:trPr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12"/>
              <w:spacing w:after="0" w:before="0" w:line="100" w:lineRule="atLeast"/>
            </w:pPr>
            <w:bookmarkStart w:id="0" w:name="_GoBack"/>
            <w:bookmarkStart w:id="1" w:name="_GoBack"/>
            <w:bookmarkEnd w:id="1"/>
            <w:r>
              <w:rPr/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20955</wp:posOffset>
                  </wp:positionH>
                  <wp:positionV relativeFrom="line">
                    <wp:posOffset>-96520</wp:posOffset>
                  </wp:positionV>
                  <wp:extent cx="675005" cy="650240"/>
                  <wp:effectExtent b="0" l="0" r="0" t="0"/>
                  <wp:wrapSquare wrapText="bothSides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60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1498" w:val="left"/>
              </w:tabs>
              <w:spacing w:after="0" w:before="0" w:line="100" w:lineRule="atLeast"/>
            </w:pPr>
            <w:r>
              <w:rPr>
                <w:b/>
                <w:sz w:val="24"/>
                <w:szCs w:val="24"/>
              </w:rPr>
              <w:t>UNIDAD AÉREA POLICÍA NACIONAL</w:t>
            </w:r>
          </w:p>
          <w:p>
            <w:pPr>
              <w:pStyle w:val="style0"/>
              <w:spacing w:after="0" w:before="0" w:line="100" w:lineRule="atLeast"/>
              <w:ind w:firstLine="708" w:left="0" w:right="0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Especificaciones técnicas para adquisición de acoplado cisterna para gasolina de aviación.</w:t>
            </w:r>
          </w:p>
        </w:tc>
        <w:tc>
          <w:tcPr>
            <w:tcW w:type="dxa" w:w="1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12"/>
              <w:spacing w:after="0" w:before="0" w:line="100" w:lineRule="atLeast"/>
            </w:pPr>
            <w:r>
              <w:rPr/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31115</wp:posOffset>
                  </wp:positionH>
                  <wp:positionV relativeFrom="line">
                    <wp:posOffset>-88265</wp:posOffset>
                  </wp:positionV>
                  <wp:extent cx="675640" cy="650240"/>
                  <wp:effectExtent b="0" l="0" r="0" t="0"/>
                  <wp:wrapSquare wrapText="bothSides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style0"/>
        <w:tabs>
          <w:tab w:leader="none" w:pos="242" w:val="left"/>
          <w:tab w:leader="none" w:pos="708" w:val="left"/>
        </w:tabs>
        <w:jc w:val="both"/>
      </w:pPr>
      <w:r>
        <w:rPr/>
      </w:r>
    </w:p>
    <w:p>
      <w:pPr>
        <w:pStyle w:val="style0"/>
        <w:tabs>
          <w:tab w:leader="none" w:pos="242" w:val="left"/>
          <w:tab w:leader="none" w:pos="708" w:val="left"/>
        </w:tabs>
        <w:jc w:val="center"/>
      </w:pPr>
      <w:r>
        <w:rPr>
          <w:rFonts w:ascii="Arial" w:hAnsi="Arial"/>
          <w:bCs/>
          <w:sz w:val="28"/>
          <w:szCs w:val="28"/>
        </w:rPr>
        <w:t>ANEXO II</w:t>
      </w:r>
    </w:p>
    <w:p>
      <w:pPr>
        <w:pStyle w:val="style0"/>
        <w:jc w:val="center"/>
      </w:pPr>
      <w:r>
        <w:rPr>
          <w:b/>
          <w:bCs/>
        </w:rPr>
        <w:t>ESPECIFICACIONES TÉCNICAS</w:t>
      </w:r>
    </w:p>
    <w:p>
      <w:pPr>
        <w:pStyle w:val="style0"/>
        <w:tabs>
          <w:tab w:leader="none" w:pos="242" w:val="left"/>
          <w:tab w:leader="none" w:pos="708" w:val="left"/>
        </w:tabs>
        <w:jc w:val="both"/>
      </w:pPr>
      <w:r>
        <w:rPr>
          <w:b/>
          <w:bCs/>
        </w:rPr>
        <w:t>Acoplado cisterna de combustible de 1000 lts (1500 litros máximo) de capacidad para gasolina.</w:t>
      </w:r>
      <w:r>
        <w:rPr>
          <w:bCs/>
        </w:rPr>
        <w:t>El mismo debe contar con dos ejes de acero</w:t>
      </w:r>
      <w:r>
        <w:rPr>
          <w:bCs/>
          <w:shd w:fill="FFFF00" w:val="clear"/>
        </w:rPr>
        <w:t>(eje delantero con rala)</w:t>
      </w:r>
      <w:r>
        <w:rPr>
          <w:bCs/>
        </w:rPr>
        <w:t xml:space="preserve">  con elásticos y sistema de freno mecánico , enganche para acoplar a camioneta de la Unidad Aérea (Mitsubishi L200) a la cual se solicitará un tipo de enganche según el tipo de enganche que posea el acoplado cisterna. El recipiente de combustible debe ser de chapas de acero inoxidable.</w:t>
      </w:r>
    </w:p>
    <w:p>
      <w:pPr>
        <w:pStyle w:val="style120"/>
        <w:numPr>
          <w:ilvl w:val="0"/>
          <w:numId w:val="2"/>
        </w:numPr>
      </w:pPr>
      <w:r>
        <w:rPr>
          <w:shd w:fill="FFFF00" w:val="clear"/>
        </w:rPr>
        <w:t>2 ejes macizo de acero con elásticos</w:t>
      </w:r>
      <w:bookmarkStart w:id="2" w:name="__DdeLink__498_1748068247"/>
      <w:r>
        <w:rPr>
          <w:shd w:fill="FFFF00" w:val="clear"/>
        </w:rPr>
        <w:t>(eje delantero con rala)</w:t>
      </w:r>
      <w:r>
        <w:rPr/>
        <w:t xml:space="preserve"> </w:t>
      </w:r>
      <w:bookmarkEnd w:id="2"/>
      <w:r>
        <w:rPr/>
        <w:t xml:space="preserve">     </w:t>
      </w:r>
      <w:r>
        <w:rPr>
          <w:b/>
          <w:bCs/>
        </w:rPr>
        <w:t>(EXCLUYENTE)</w:t>
      </w:r>
      <w:r>
        <w:rPr/>
        <w:t xml:space="preserve">                                                                                                   </w:t>
      </w:r>
    </w:p>
    <w:p>
      <w:pPr>
        <w:pStyle w:val="style120"/>
        <w:numPr>
          <w:ilvl w:val="0"/>
          <w:numId w:val="2"/>
        </w:numPr>
      </w:pPr>
      <w:r>
        <w:rPr/>
        <w:t>Rodado 15 o 16(para 1500 lt./kg. podría ser 195/15)</w:t>
      </w:r>
    </w:p>
    <w:p>
      <w:pPr>
        <w:pStyle w:val="style120"/>
        <w:numPr>
          <w:ilvl w:val="0"/>
          <w:numId w:val="2"/>
        </w:numPr>
      </w:pPr>
      <w:r>
        <w:rPr/>
        <w:t>Rueda de auxilio(con soporte de seguridad anclaje al carro, gato, llave de rueda y balizas ajustado a  reglamento vial y características del vehículo).</w:t>
      </w:r>
    </w:p>
    <w:p>
      <w:pPr>
        <w:pStyle w:val="style120"/>
        <w:numPr>
          <w:ilvl w:val="0"/>
          <w:numId w:val="2"/>
        </w:numPr>
      </w:pPr>
      <w:r>
        <w:rPr/>
        <w:t>Cajón/es de carga (laterales o frontales).</w:t>
      </w:r>
    </w:p>
    <w:p>
      <w:pPr>
        <w:pStyle w:val="style120"/>
        <w:numPr>
          <w:ilvl w:val="0"/>
          <w:numId w:val="2"/>
        </w:numPr>
      </w:pPr>
      <w:r>
        <w:rPr/>
        <w:t>Indicador de nivel.</w:t>
      </w:r>
    </w:p>
    <w:p>
      <w:pPr>
        <w:pStyle w:val="style120"/>
        <w:numPr>
          <w:ilvl w:val="0"/>
          <w:numId w:val="2"/>
        </w:numPr>
      </w:pPr>
      <w:r>
        <w:rPr/>
        <w:t>Purga inferior.</w:t>
      </w:r>
    </w:p>
    <w:p>
      <w:pPr>
        <w:pStyle w:val="style120"/>
        <w:numPr>
          <w:ilvl w:val="0"/>
          <w:numId w:val="2"/>
        </w:numPr>
      </w:pPr>
      <w:r>
        <w:rPr>
          <w:shd w:fill="FFFF00" w:val="clear"/>
        </w:rPr>
        <w:t>Tanque de acero inoxidable</w:t>
      </w:r>
      <w:r>
        <w:rPr/>
        <w:t xml:space="preserve"> de entre 1000 y 1500 lts de capacidad. </w:t>
      </w:r>
      <w:r>
        <w:rPr>
          <w:b/>
          <w:bCs/>
        </w:rPr>
        <w:t>(EXCLUYENTE)</w:t>
      </w:r>
    </w:p>
    <w:p>
      <w:pPr>
        <w:pStyle w:val="style120"/>
        <w:numPr>
          <w:ilvl w:val="0"/>
          <w:numId w:val="2"/>
        </w:numPr>
      </w:pPr>
      <w:r>
        <w:rPr/>
        <w:t>Boca de carga, medidas 63mm con dispositivo de cierre.</w:t>
      </w:r>
    </w:p>
    <w:p>
      <w:pPr>
        <w:pStyle w:val="style120"/>
        <w:numPr>
          <w:ilvl w:val="0"/>
          <w:numId w:val="2"/>
        </w:numPr>
      </w:pPr>
      <w:r>
        <w:rPr>
          <w:shd w:fill="FFFF00" w:val="clear"/>
        </w:rPr>
        <w:t>Rompeolas</w:t>
      </w:r>
      <w:r>
        <w:rPr/>
        <w:t xml:space="preserve">. </w:t>
      </w:r>
      <w:r>
        <w:rPr>
          <w:b/>
          <w:bCs/>
        </w:rPr>
        <w:t>(EXCLUYENTE)</w:t>
      </w:r>
    </w:p>
    <w:p>
      <w:pPr>
        <w:pStyle w:val="style120"/>
        <w:numPr>
          <w:ilvl w:val="0"/>
          <w:numId w:val="2"/>
        </w:numPr>
      </w:pPr>
      <w:r>
        <w:rPr/>
        <w:t>Luces reglamentarias con farol tipo led y cordón(cable) para conexión con el vehículo de traslado.</w:t>
      </w:r>
    </w:p>
    <w:p>
      <w:pPr>
        <w:pStyle w:val="style120"/>
        <w:numPr>
          <w:ilvl w:val="0"/>
          <w:numId w:val="2"/>
        </w:numPr>
      </w:pPr>
      <w:r>
        <w:rPr/>
        <w:t>Llanta de auxilio.</w:t>
      </w:r>
    </w:p>
    <w:p>
      <w:pPr>
        <w:pStyle w:val="style120"/>
        <w:numPr>
          <w:ilvl w:val="0"/>
          <w:numId w:val="2"/>
        </w:numPr>
      </w:pPr>
      <w:r>
        <w:rPr/>
        <w:t>Suspensión de elásticos.</w:t>
      </w:r>
    </w:p>
    <w:p>
      <w:pPr>
        <w:pStyle w:val="style120"/>
        <w:numPr>
          <w:ilvl w:val="0"/>
          <w:numId w:val="2"/>
        </w:numPr>
      </w:pPr>
      <w:r>
        <w:rPr>
          <w:shd w:fill="FFFF00" w:val="clear"/>
        </w:rPr>
        <w:t>Sistema de Frenos</w:t>
      </w:r>
      <w:r>
        <w:rPr/>
        <w:t xml:space="preserve"> mecánico </w:t>
      </w:r>
      <w:r>
        <w:rPr>
          <w:b/>
          <w:bCs/>
        </w:rPr>
        <w:t>(EXCLUYENTE)</w:t>
      </w:r>
    </w:p>
    <w:p>
      <w:pPr>
        <w:pStyle w:val="style120"/>
        <w:numPr>
          <w:ilvl w:val="0"/>
          <w:numId w:val="2"/>
        </w:numPr>
      </w:pPr>
      <w:r>
        <w:rPr/>
        <w:t>Paso de hombre.</w:t>
      </w:r>
    </w:p>
    <w:p>
      <w:pPr>
        <w:pStyle w:val="style120"/>
        <w:numPr>
          <w:ilvl w:val="0"/>
          <w:numId w:val="2"/>
        </w:numPr>
      </w:pPr>
      <w:r>
        <w:rPr/>
        <w:t>Porta candados en todos sus cierres con llave maestra (en tapas de inspección, bocas de carga, purga, tapas portaherramientas, y compartimento de la bomba y pico).</w:t>
      </w:r>
      <w:r>
        <w:rPr>
          <w:rFonts w:cs="" w:eastAsia="Calibri"/>
          <w:b w:val="false"/>
          <w:bCs w:val="false"/>
          <w:shd w:fill="FFFFFF" w:val="clear"/>
        </w:rPr>
        <w:t xml:space="preserve"> Kit anti desarme.</w:t>
      </w:r>
    </w:p>
    <w:p>
      <w:pPr>
        <w:pStyle w:val="style120"/>
        <w:numPr>
          <w:ilvl w:val="0"/>
          <w:numId w:val="2"/>
        </w:numPr>
      </w:pPr>
      <w:r>
        <w:rPr/>
        <w:t>2 porta extintores y extintores ABC 8kg de capacidad.</w:t>
      </w:r>
    </w:p>
    <w:p>
      <w:pPr>
        <w:pStyle w:val="style120"/>
        <w:numPr>
          <w:ilvl w:val="0"/>
          <w:numId w:val="2"/>
        </w:numPr>
      </w:pPr>
      <w:r>
        <w:rPr/>
        <w:t xml:space="preserve">Debe contar con </w:t>
      </w:r>
      <w:r>
        <w:rPr>
          <w:shd w:fill="FFFF00" w:val="clear"/>
        </w:rPr>
        <w:t>dispositivo que garantice la descarga a tierra del acoplado</w:t>
      </w:r>
      <w:r>
        <w:rPr/>
        <w:t xml:space="preserve"> en todo momento. </w:t>
      </w:r>
      <w:bookmarkStart w:id="3" w:name="__DdeLink__320_1668626444"/>
      <w:bookmarkEnd w:id="3"/>
      <w:r>
        <w:rPr>
          <w:b/>
          <w:bCs/>
        </w:rPr>
        <w:t>(EXCLUYENTE)</w:t>
      </w:r>
    </w:p>
    <w:p>
      <w:pPr>
        <w:pStyle w:val="style120"/>
        <w:numPr>
          <w:ilvl w:val="0"/>
          <w:numId w:val="2"/>
        </w:numPr>
      </w:pPr>
      <w:r>
        <w:rPr/>
        <w:t>Guardabarros.</w:t>
      </w:r>
    </w:p>
    <w:p>
      <w:pPr>
        <w:pStyle w:val="style120"/>
        <w:numPr>
          <w:ilvl w:val="0"/>
          <w:numId w:val="2"/>
        </w:numPr>
      </w:pPr>
      <w:r>
        <w:rPr/>
        <w:t>Chasis sobre 4 ruedas con 5° rueda delantera con telescopio manual.</w:t>
      </w:r>
    </w:p>
    <w:p>
      <w:pPr>
        <w:pStyle w:val="style120"/>
        <w:numPr>
          <w:ilvl w:val="0"/>
          <w:numId w:val="2"/>
        </w:numPr>
      </w:pPr>
      <w:r>
        <w:rPr/>
        <w:t xml:space="preserve">Enganche flotante de bola de 1” por 7/8 con cadenas de seguridad.       </w:t>
      </w:r>
    </w:p>
    <w:p>
      <w:pPr>
        <w:pStyle w:val="style0"/>
      </w:pPr>
      <w:r>
        <w:rPr/>
      </w:r>
    </w:p>
    <w:p>
      <w:pPr>
        <w:pStyle w:val="style120"/>
        <w:widowControl/>
        <w:spacing w:after="200" w:before="0" w:line="276" w:lineRule="auto"/>
        <w:jc w:val="left"/>
      </w:pPr>
      <w:r>
        <w:rPr/>
      </w:r>
    </w:p>
    <w:p>
      <w:pPr>
        <w:pStyle w:val="style120"/>
      </w:pPr>
      <w:r>
        <w:rPr/>
        <w:br/>
      </w:r>
      <w:r>
        <w:rPr>
          <w:b/>
          <w:bCs/>
        </w:rPr>
        <w:t>Compartimiento para bomba:</w:t>
        <w:br/>
      </w:r>
    </w:p>
    <w:p>
      <w:pPr>
        <w:pStyle w:val="style120"/>
        <w:numPr>
          <w:ilvl w:val="0"/>
          <w:numId w:val="2"/>
        </w:numPr>
      </w:pPr>
      <w:r>
        <w:rPr>
          <w:shd w:fill="FFFF00" w:val="clear"/>
        </w:rPr>
        <w:t>Bomba eléctrica con alimentación eléctrica(12 volt.) independiente del vehículo</w:t>
      </w:r>
      <w:r>
        <w:rPr/>
        <w:t xml:space="preserve"> </w:t>
      </w:r>
      <w:r>
        <w:rPr>
          <w:b/>
          <w:bCs/>
        </w:rPr>
        <w:t>(EXCLUYENTE)</w:t>
      </w:r>
    </w:p>
    <w:p>
      <w:pPr>
        <w:pStyle w:val="style120"/>
        <w:numPr>
          <w:ilvl w:val="0"/>
          <w:numId w:val="2"/>
        </w:numPr>
      </w:pPr>
      <w:r>
        <w:rPr>
          <w:shd w:fill="FFFF00" w:val="clear"/>
        </w:rPr>
        <w:t>Cuenta litros</w:t>
      </w:r>
      <w:r>
        <w:rPr/>
        <w:t>.</w:t>
      </w:r>
      <w:r>
        <w:rPr>
          <w:b/>
          <w:bCs/>
        </w:rPr>
        <w:t>(EXCLUYENTE)</w:t>
      </w:r>
    </w:p>
    <w:p>
      <w:pPr>
        <w:pStyle w:val="style120"/>
        <w:numPr>
          <w:ilvl w:val="0"/>
          <w:numId w:val="2"/>
        </w:numPr>
      </w:pPr>
      <w:r>
        <w:rPr>
          <w:shd w:fill="FFFF00" w:val="clear"/>
        </w:rPr>
        <w:t>Filtro separador de agua</w:t>
      </w:r>
      <w:r>
        <w:rPr/>
        <w:t>.</w:t>
      </w:r>
      <w:r>
        <w:rPr>
          <w:b/>
          <w:bCs/>
        </w:rPr>
        <w:t>(EXCLUYENTE)</w:t>
      </w:r>
    </w:p>
    <w:p>
      <w:pPr>
        <w:pStyle w:val="style120"/>
        <w:numPr>
          <w:ilvl w:val="0"/>
          <w:numId w:val="2"/>
        </w:numPr>
      </w:pPr>
      <w:r>
        <w:rPr>
          <w:shd w:fill="FFFF00" w:val="clear"/>
        </w:rPr>
        <w:t>Pico con corte automático</w:t>
      </w:r>
      <w:r>
        <w:rPr>
          <w:rFonts w:cs="" w:eastAsia="Calibri"/>
          <w:b/>
          <w:bCs/>
          <w:shd w:fill="FFFFFF" w:val="clear"/>
        </w:rPr>
        <w:t xml:space="preserve">(EXCLUYENTE).                                  </w:t>
      </w:r>
    </w:p>
    <w:p>
      <w:pPr>
        <w:pStyle w:val="style120"/>
        <w:numPr>
          <w:ilvl w:val="0"/>
          <w:numId w:val="2"/>
        </w:numPr>
      </w:pPr>
      <w:r>
        <w:rPr>
          <w:rFonts w:cs="" w:eastAsia="Calibri"/>
          <w:b w:val="false"/>
          <w:bCs w:val="false"/>
          <w:shd w:fill="FFFFFF" w:val="clear"/>
        </w:rPr>
        <w:t>Pico elemento de seguridad para descarga con manguera reforzada con carrete.</w:t>
      </w:r>
      <w:r>
        <w:rPr>
          <w:rFonts w:cs="" w:eastAsia="Calibri"/>
          <w:b/>
          <w:bCs/>
          <w:shd w:fill="FFFFFF" w:val="clear"/>
        </w:rPr>
        <w:t>(EXCLUYENTE)</w:t>
      </w:r>
    </w:p>
    <w:p>
      <w:pPr>
        <w:pStyle w:val="style120"/>
        <w:ind w:hanging="0" w:left="0" w:right="0"/>
      </w:pPr>
      <w:r>
        <w:rPr>
          <w:rFonts w:cs="" w:eastAsia="Calibri"/>
          <w:b/>
          <w:bCs/>
          <w:shd w:fill="FFFFFF" w:val="clear"/>
        </w:rPr>
        <w:t xml:space="preserve">     </w:t>
      </w:r>
      <w:r>
        <w:rPr>
          <w:rFonts w:cs="" w:eastAsia="Calibri"/>
          <w:b w:val="false"/>
          <w:bCs w:val="false"/>
          <w:shd w:fill="FFFFFF" w:val="clear"/>
        </w:rPr>
        <w:t>-    Cadena con puntero de bronce para descarga estática del carro.</w:t>
      </w:r>
    </w:p>
    <w:p>
      <w:pPr>
        <w:pStyle w:val="style120"/>
        <w:ind w:hanging="0" w:left="0" w:right="0"/>
      </w:pPr>
      <w:r>
        <w:rPr>
          <w:rFonts w:cs="" w:eastAsia="Calibri"/>
          <w:b w:val="false"/>
          <w:bCs w:val="false"/>
          <w:shd w:fill="FFFFFF" w:val="clear"/>
        </w:rPr>
        <w:t xml:space="preserve">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3"/>
        </w:numPr>
      </w:pPr>
      <w:r>
        <w:rPr>
          <w:u w:val="single"/>
          <w:lang w:val="en-US"/>
        </w:rPr>
        <w:t>Señalización</w:t>
      </w:r>
      <w:r>
        <w:rPr>
          <w:lang w:val="en-US"/>
        </w:rPr>
        <w:t>: paneles y etiquetas de riesgo</w:t>
      </w:r>
    </w:p>
    <w:p>
      <w:pPr>
        <w:pStyle w:val="style0"/>
        <w:numPr>
          <w:ilvl w:val="0"/>
          <w:numId w:val="4"/>
        </w:numPr>
        <w:jc w:val="both"/>
      </w:pPr>
      <w:r>
        <w:rPr>
          <w:lang w:val="en-US"/>
        </w:rPr>
        <w:t>Etiquetas de riesgo, que deben tener como dimensiones mínimas: 250 x 250 mm con una línea del mismo color del símbolo a 12.5 mm del borde y paralela en todo su perímetro, según el tipo de mercadería.</w:t>
      </w:r>
    </w:p>
    <w:p>
      <w:pPr>
        <w:pStyle w:val="style0"/>
        <w:numPr>
          <w:ilvl w:val="0"/>
          <w:numId w:val="4"/>
        </w:numPr>
        <w:jc w:val="both"/>
      </w:pPr>
      <w:r>
        <w:rPr>
          <w:lang w:val="en-US"/>
        </w:rPr>
        <w:t>Los paneles de seguridad, son placas de color naranja, con dimensiones no inferiores a 140 mm de alto y 350 mm de ancho, con un borde negro de 10 mm.</w:t>
      </w:r>
    </w:p>
    <w:p>
      <w:pPr>
        <w:pStyle w:val="style0"/>
        <w:numPr>
          <w:ilvl w:val="0"/>
          <w:numId w:val="4"/>
        </w:numPr>
      </w:pPr>
      <w:r>
        <w:rPr>
          <w:lang w:val="es-ES"/>
        </w:rPr>
        <w:t>Los paneles y etiquetas de riesgo deben ajustarse al código de seguridad aeroportuario AIC.</w:t>
      </w:r>
    </w:p>
    <w:p>
      <w:pPr>
        <w:pStyle w:val="style0"/>
        <w:numPr>
          <w:ilvl w:val="0"/>
          <w:numId w:val="4"/>
        </w:numPr>
      </w:pPr>
      <w:r>
        <w:rPr/>
        <w:t xml:space="preserve"> </w:t>
      </w:r>
      <w:r>
        <w:rPr/>
        <w:t>Farol con telescopio tipo LED para operar en la oscuridad (a 12 volt. directo a batería del vehículo).</w:t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1866265</wp:posOffset>
            </wp:positionH>
            <wp:positionV relativeFrom="line">
              <wp:posOffset>-168910</wp:posOffset>
            </wp:positionV>
            <wp:extent cx="1962785" cy="950595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single"/>
          <w:lang w:val="en-US"/>
        </w:rPr>
        <w:t>Protección contra cargas estáticas</w:t>
      </w:r>
      <w:r>
        <w:rPr>
          <w:lang w:val="en-US"/>
        </w:rPr>
        <w:t xml:space="preserve">: el tanque de carga deberá tener en su estructura elementos que aseguren la continuidad eléctrica con el brazo de carga, a través del sistema existente en el cargadero. En caso de que dichos elementos se encuentren en el chasis, el mismo deberá estar interconectado al tanque de carga. </w:t>
      </w:r>
    </w:p>
    <w:p>
      <w:pPr>
        <w:pStyle w:val="style0"/>
        <w:jc w:val="both"/>
      </w:pPr>
      <w:r>
        <w:rPr>
          <w:lang w:val="en-US"/>
        </w:rPr>
        <w:t>En caso de usarse un recipiente para escurrir o ajustar bodegas, el mismo deberá ser metálico y tener cable y pinza para interconectarlo a la cisterna durante dichas operaciones.</w:t>
      </w:r>
    </w:p>
    <w:p>
      <w:pPr>
        <w:pStyle w:val="style0"/>
        <w:jc w:val="center"/>
      </w:pPr>
      <w:r>
        <w:rPr>
          <w:b/>
          <w:lang w:val="es-ES"/>
        </w:rPr>
        <w:t>I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1860550</wp:posOffset>
            </wp:positionH>
            <wp:positionV relativeFrom="line">
              <wp:posOffset>1311910</wp:posOffset>
            </wp:positionV>
            <wp:extent cx="3505200" cy="235267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s-ES"/>
        </w:rPr>
        <w:t>MAGEN ILUSTRATIVA</w:t>
      </w:r>
    </w:p>
    <w:p>
      <w:pPr>
        <w:pStyle w:val="style0"/>
        <w:numPr>
          <w:ilvl w:val="0"/>
          <w:numId w:val="1"/>
        </w:numPr>
        <w:spacing w:after="200" w:before="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128270</wp:posOffset>
            </wp:positionH>
            <wp:positionV relativeFrom="line">
              <wp:posOffset>-119380</wp:posOffset>
            </wp:positionV>
            <wp:extent cx="2747010" cy="2057400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3364865</wp:posOffset>
            </wp:positionH>
            <wp:positionV relativeFrom="line">
              <wp:posOffset>-42545</wp:posOffset>
            </wp:positionV>
            <wp:extent cx="3114675" cy="2085975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/>
        <w:suppressAutoHyphens w:val="true"/>
        <w:spacing w:after="200" w:before="0" w:line="276" w:lineRule="auto"/>
        <w:jc w:val="left"/>
      </w:pPr>
      <w:r>
        <w:rPr/>
      </w:r>
    </w:p>
    <w:sectPr>
      <w:headerReference r:id="rId8" w:type="default"/>
      <w:footerReference r:id="rId9" w:type="default"/>
      <w:type w:val="nextPage"/>
      <w:pgSz w:h="16838" w:w="11906"/>
      <w:pgMar w:bottom="1417" w:footer="708" w:gutter="0" w:header="708" w:left="1701" w:right="1701" w:top="765"/>
      <w:pgNumType w:fmt="decimal"/>
      <w:formProt w:val="false"/>
      <w:textDirection w:val="lrTb"/>
      <w:docGrid w:charSpace="983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alibri">
    <w:charset w:val="80"/>
    <w:family w:val="swiss"/>
    <w:pitch w:val="default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8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1"/>
      <w:jc w:val="center"/>
    </w:pPr>
    <w:r>
      <w:rPr>
        <w:rFonts w:cs="Times New Roman" w:eastAsia="Calibri"/>
        <w:sz w:val="20"/>
        <w:szCs w:val="20"/>
      </w:rPr>
      <w:t>Hangar 17 Aeropuerto Internacional de Carrasco – Canelones Uruguay</w:t>
    </w:r>
  </w:p>
  <w:p>
    <w:pPr>
      <w:pStyle w:val="style121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  <w:p>
    <w:pPr>
      <w:pStyle w:val="style112"/>
    </w:pPr>
    <w:r>
      <w:rPr/>
    </w:r>
  </w:p>
  <w:p>
    <w:pPr>
      <w:pStyle w:val="style11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none"/>
      <w:suff w:val="nothing"/>
      <w:lvlText w:val=""/>
      <w:lvlJc w:val="left"/>
      <w:pPr>
        <w:ind w:hanging="360" w:left="1080"/>
      </w:pPr>
    </w:lvl>
    <w:lvl w:ilvl="2">
      <w:start w:val="1"/>
      <w:numFmt w:val="none"/>
      <w:suff w:val="nothing"/>
      <w:lvlText w:val=""/>
      <w:lvlJc w:val="left"/>
      <w:pPr>
        <w:ind w:hanging="360" w:left="1440"/>
      </w:pPr>
    </w:lvl>
    <w:lvl w:ilvl="3">
      <w:start w:val="1"/>
      <w:numFmt w:val="none"/>
      <w:suff w:val="nothing"/>
      <w:lvlText w:val=""/>
      <w:lvlJc w:val="left"/>
      <w:pPr>
        <w:ind w:hanging="360" w:left="1800"/>
      </w:pPr>
    </w:lvl>
    <w:lvl w:ilvl="4">
      <w:start w:val="1"/>
      <w:numFmt w:val="none"/>
      <w:suff w:val="nothing"/>
      <w:lvlText w:val=""/>
      <w:lvlJc w:val="left"/>
      <w:pPr>
        <w:ind w:hanging="360" w:left="2160"/>
      </w:pPr>
    </w:lvl>
    <w:lvl w:ilvl="5">
      <w:start w:val="1"/>
      <w:numFmt w:val="none"/>
      <w:suff w:val="nothing"/>
      <w:lvlText w:val=""/>
      <w:lvlJc w:val="left"/>
      <w:pPr>
        <w:ind w:hanging="360" w:left="2520"/>
      </w:pPr>
    </w:lvl>
    <w:lvl w:ilvl="6">
      <w:start w:val="1"/>
      <w:numFmt w:val="none"/>
      <w:suff w:val="nothing"/>
      <w:lvlText w:val=""/>
      <w:lvlJc w:val="left"/>
      <w:pPr>
        <w:ind w:hanging="360" w:left="2880"/>
      </w:pPr>
    </w:lvl>
    <w:lvl w:ilvl="7">
      <w:start w:val="1"/>
      <w:numFmt w:val="none"/>
      <w:suff w:val="nothing"/>
      <w:lvlText w:val=""/>
      <w:lvlJc w:val="left"/>
      <w:pPr>
        <w:ind w:hanging="360" w:left="3240"/>
      </w:pPr>
    </w:lvl>
    <w:lvl w:ilvl="8">
      <w:start w:val="1"/>
      <w:numFmt w:val="none"/>
      <w:suff w:val="nothing"/>
      <w:lvlText w:val=""/>
      <w:lvlJc w:val="left"/>
      <w:pPr>
        <w:ind w:hanging="360" w:left="3600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  <w:b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pos="1429" w:val="num"/>
        </w:tabs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789" w:val="num"/>
        </w:tabs>
        <w:ind w:hanging="360" w:left="1789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2149" w:val="num"/>
        </w:tabs>
        <w:ind w:hanging="360" w:left="2149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2509" w:val="num"/>
        </w:tabs>
        <w:ind w:hanging="360" w:left="2509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869" w:val="num"/>
        </w:tabs>
        <w:ind w:hanging="360" w:left="2869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3229" w:val="num"/>
        </w:tabs>
        <w:ind w:hanging="360" w:left="3229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3589" w:val="num"/>
        </w:tabs>
        <w:ind w:hanging="360" w:left="3589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949" w:val="num"/>
        </w:tabs>
        <w:ind w:hanging="360" w:left="3949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4309" w:val="num"/>
        </w:tabs>
        <w:ind w:hanging="360" w:left="4309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jc w:val="left"/>
    </w:pPr>
    <w:rPr>
      <w:rFonts w:ascii="Calibri" w:cs="" w:eastAsia="Calibri" w:hAnsi="Calibri"/>
      <w:color w:val="00000A"/>
      <w:sz w:val="22"/>
      <w:szCs w:val="22"/>
      <w:lang w:bidi="ar-SA" w:eastAsia="en-US" w:val="es-UY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Encabezado Car"/>
    <w:basedOn w:val="style15"/>
    <w:next w:val="style17"/>
    <w:rPr/>
  </w:style>
  <w:style w:styleId="style18" w:type="character">
    <w:name w:val="Pie de página Car"/>
    <w:basedOn w:val="style15"/>
    <w:next w:val="style18"/>
    <w:rPr/>
  </w:style>
  <w:style w:styleId="style19" w:type="character">
    <w:name w:val="ListLabel 1"/>
    <w:next w:val="style19"/>
    <w:rPr>
      <w:rFonts w:cs="Calibri" w:eastAsia="Calibri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rFonts w:cs="Courier New"/>
    </w:rPr>
  </w:style>
  <w:style w:styleId="style22" w:type="character">
    <w:name w:val="ListLabel 4"/>
    <w:next w:val="style22"/>
    <w:rPr>
      <w:rFonts w:cs="Courier New"/>
    </w:rPr>
  </w:style>
  <w:style w:styleId="style23" w:type="character">
    <w:name w:val="ListLabel 5"/>
    <w:next w:val="style23"/>
    <w:rPr>
      <w:rFonts w:cs="OpenSymbol"/>
    </w:rPr>
  </w:style>
  <w:style w:styleId="style24" w:type="character">
    <w:name w:val="ListLabel 6"/>
    <w:next w:val="style24"/>
    <w:rPr>
      <w:rFonts w:cs="Calibri"/>
    </w:rPr>
  </w:style>
  <w:style w:styleId="style25" w:type="character">
    <w:name w:val="ListLabel 7"/>
    <w:next w:val="style25"/>
    <w:rPr>
      <w:rFonts w:cs="Courier New"/>
    </w:rPr>
  </w:style>
  <w:style w:styleId="style26" w:type="character">
    <w:name w:val="ListLabel 8"/>
    <w:next w:val="style26"/>
    <w:rPr>
      <w:rFonts w:cs="Wingdings"/>
    </w:rPr>
  </w:style>
  <w:style w:styleId="style27" w:type="character">
    <w:name w:val="ListLabel 9"/>
    <w:next w:val="style27"/>
    <w:rPr>
      <w:rFonts w:cs="Symbol"/>
    </w:rPr>
  </w:style>
  <w:style w:styleId="style28" w:type="character">
    <w:name w:val="ListLabel 10"/>
    <w:next w:val="style28"/>
    <w:rPr>
      <w:rFonts w:cs="Courier New"/>
    </w:rPr>
  </w:style>
  <w:style w:styleId="style29" w:type="character">
    <w:name w:val="ListLabel 11"/>
    <w:next w:val="style29"/>
    <w:rPr>
      <w:rFonts w:cs="Wingdings"/>
    </w:rPr>
  </w:style>
  <w:style w:styleId="style30" w:type="character">
    <w:name w:val="ListLabel 12"/>
    <w:next w:val="style30"/>
    <w:rPr>
      <w:rFonts w:cs="Symbol"/>
    </w:rPr>
  </w:style>
  <w:style w:styleId="style31" w:type="character">
    <w:name w:val="ListLabel 13"/>
    <w:next w:val="style31"/>
    <w:rPr>
      <w:rFonts w:cs="Courier New"/>
    </w:rPr>
  </w:style>
  <w:style w:styleId="style32" w:type="character">
    <w:name w:val="ListLabel 14"/>
    <w:next w:val="style32"/>
    <w:rPr>
      <w:rFonts w:cs="Wingdings"/>
    </w:rPr>
  </w:style>
  <w:style w:styleId="style33" w:type="character">
    <w:name w:val="ListLabel 15"/>
    <w:next w:val="style33"/>
    <w:rPr>
      <w:rFonts w:cs="OpenSymbol"/>
    </w:rPr>
  </w:style>
  <w:style w:styleId="style34" w:type="character">
    <w:name w:val="ListLabel 16"/>
    <w:next w:val="style34"/>
    <w:rPr>
      <w:rFonts w:cs="Calibri"/>
    </w:rPr>
  </w:style>
  <w:style w:styleId="style35" w:type="character">
    <w:name w:val="ListLabel 17"/>
    <w:next w:val="style35"/>
    <w:rPr>
      <w:rFonts w:cs="Courier New"/>
    </w:rPr>
  </w:style>
  <w:style w:styleId="style36" w:type="character">
    <w:name w:val="ListLabel 18"/>
    <w:next w:val="style36"/>
    <w:rPr>
      <w:rFonts w:cs="Wingdings"/>
    </w:rPr>
  </w:style>
  <w:style w:styleId="style37" w:type="character">
    <w:name w:val="ListLabel 19"/>
    <w:next w:val="style37"/>
    <w:rPr>
      <w:rFonts w:cs="Symbol"/>
    </w:rPr>
  </w:style>
  <w:style w:styleId="style38" w:type="character">
    <w:name w:val="ListLabel 20"/>
    <w:next w:val="style38"/>
    <w:rPr>
      <w:rFonts w:cs="Courier New"/>
    </w:rPr>
  </w:style>
  <w:style w:styleId="style39" w:type="character">
    <w:name w:val="ListLabel 21"/>
    <w:next w:val="style39"/>
    <w:rPr>
      <w:rFonts w:cs="Wingdings"/>
    </w:rPr>
  </w:style>
  <w:style w:styleId="style40" w:type="character">
    <w:name w:val="ListLabel 22"/>
    <w:next w:val="style40"/>
    <w:rPr>
      <w:rFonts w:cs="Symbol"/>
    </w:rPr>
  </w:style>
  <w:style w:styleId="style41" w:type="character">
    <w:name w:val="ListLabel 23"/>
    <w:next w:val="style41"/>
    <w:rPr>
      <w:rFonts w:cs="Courier New"/>
    </w:rPr>
  </w:style>
  <w:style w:styleId="style42" w:type="character">
    <w:name w:val="ListLabel 24"/>
    <w:next w:val="style42"/>
    <w:rPr>
      <w:rFonts w:cs="Wingdings"/>
    </w:rPr>
  </w:style>
  <w:style w:styleId="style43" w:type="character">
    <w:name w:val="Viñetas"/>
    <w:next w:val="style43"/>
    <w:rPr>
      <w:rFonts w:ascii="OpenSymbol" w:cs="OpenSymbol" w:eastAsia="OpenSymbol" w:hAnsi="OpenSymbol"/>
    </w:rPr>
  </w:style>
  <w:style w:styleId="style44" w:type="character">
    <w:name w:val="ListLabel 25"/>
    <w:next w:val="style44"/>
    <w:rPr>
      <w:rFonts w:cs="OpenSymbol"/>
    </w:rPr>
  </w:style>
  <w:style w:styleId="style45" w:type="character">
    <w:name w:val="ListLabel 26"/>
    <w:next w:val="style45"/>
    <w:rPr>
      <w:rFonts w:cs="Calibri"/>
    </w:rPr>
  </w:style>
  <w:style w:styleId="style46" w:type="character">
    <w:name w:val="ListLabel 27"/>
    <w:next w:val="style46"/>
    <w:rPr>
      <w:rFonts w:cs="Courier New"/>
    </w:rPr>
  </w:style>
  <w:style w:styleId="style47" w:type="character">
    <w:name w:val="ListLabel 28"/>
    <w:next w:val="style47"/>
    <w:rPr>
      <w:rFonts w:cs="Wingdings"/>
    </w:rPr>
  </w:style>
  <w:style w:styleId="style48" w:type="character">
    <w:name w:val="ListLabel 29"/>
    <w:next w:val="style48"/>
    <w:rPr>
      <w:rFonts w:cs="Symbol"/>
    </w:rPr>
  </w:style>
  <w:style w:styleId="style49" w:type="character">
    <w:name w:val="ListLabel 30"/>
    <w:next w:val="style49"/>
    <w:rPr>
      <w:rFonts w:cs="Courier New"/>
    </w:rPr>
  </w:style>
  <w:style w:styleId="style50" w:type="character">
    <w:name w:val="ListLabel 31"/>
    <w:next w:val="style50"/>
    <w:rPr>
      <w:rFonts w:cs="Wingdings"/>
    </w:rPr>
  </w:style>
  <w:style w:styleId="style51" w:type="character">
    <w:name w:val="ListLabel 32"/>
    <w:next w:val="style51"/>
    <w:rPr>
      <w:rFonts w:cs="Symbol"/>
    </w:rPr>
  </w:style>
  <w:style w:styleId="style52" w:type="character">
    <w:name w:val="ListLabel 33"/>
    <w:next w:val="style52"/>
    <w:rPr>
      <w:rFonts w:cs="Courier New"/>
    </w:rPr>
  </w:style>
  <w:style w:styleId="style53" w:type="character">
    <w:name w:val="ListLabel 34"/>
    <w:next w:val="style53"/>
    <w:rPr>
      <w:rFonts w:cs="Wingdings"/>
    </w:rPr>
  </w:style>
  <w:style w:styleId="style54" w:type="character">
    <w:name w:val="ListLabel 35"/>
    <w:next w:val="style54"/>
    <w:rPr>
      <w:rFonts w:cs="OpenSymbol"/>
    </w:rPr>
  </w:style>
  <w:style w:styleId="style55" w:type="character">
    <w:name w:val="ListLabel 36"/>
    <w:next w:val="style55"/>
    <w:rPr>
      <w:rFonts w:cs="OpenSymbol"/>
    </w:rPr>
  </w:style>
  <w:style w:styleId="style56" w:type="character">
    <w:name w:val="ListLabel 37"/>
    <w:next w:val="style56"/>
    <w:rPr>
      <w:rFonts w:cs="OpenSymbol"/>
    </w:rPr>
  </w:style>
  <w:style w:styleId="style57" w:type="character">
    <w:name w:val="ListLabel 38"/>
    <w:next w:val="style57"/>
    <w:rPr>
      <w:rFonts w:cs="OpenSymbol"/>
    </w:rPr>
  </w:style>
  <w:style w:styleId="style58" w:type="character">
    <w:name w:val="ListLabel 39"/>
    <w:next w:val="style58"/>
    <w:rPr>
      <w:rFonts w:cs="OpenSymbol"/>
    </w:rPr>
  </w:style>
  <w:style w:styleId="style59" w:type="character">
    <w:name w:val="ListLabel 40"/>
    <w:next w:val="style59"/>
    <w:rPr>
      <w:rFonts w:cs="OpenSymbol"/>
    </w:rPr>
  </w:style>
  <w:style w:styleId="style60" w:type="character">
    <w:name w:val="ListLabel 41"/>
    <w:next w:val="style60"/>
    <w:rPr>
      <w:rFonts w:cs="OpenSymbol"/>
    </w:rPr>
  </w:style>
  <w:style w:styleId="style61" w:type="character">
    <w:name w:val="ListLabel 42"/>
    <w:next w:val="style61"/>
    <w:rPr>
      <w:rFonts w:cs="OpenSymbol"/>
    </w:rPr>
  </w:style>
  <w:style w:styleId="style62" w:type="character">
    <w:name w:val="ListLabel 43"/>
    <w:next w:val="style62"/>
    <w:rPr>
      <w:rFonts w:cs="OpenSymbol"/>
    </w:rPr>
  </w:style>
  <w:style w:styleId="style63" w:type="character">
    <w:name w:val="ListLabel 44"/>
    <w:next w:val="style63"/>
    <w:rPr>
      <w:rFonts w:cs="OpenSymbol"/>
    </w:rPr>
  </w:style>
  <w:style w:styleId="style64" w:type="character">
    <w:name w:val="ListLabel 45"/>
    <w:next w:val="style64"/>
    <w:rPr>
      <w:rFonts w:cs="Calibri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rFonts w:cs="OpenSymbol"/>
    </w:rPr>
  </w:style>
  <w:style w:styleId="style69" w:type="character">
    <w:name w:val="ListLabel 50"/>
    <w:next w:val="style69"/>
    <w:rPr>
      <w:rFonts w:cs="Calibri"/>
    </w:rPr>
  </w:style>
  <w:style w:styleId="style70" w:type="character">
    <w:name w:val="ListLabel 51"/>
    <w:next w:val="style70"/>
    <w:rPr>
      <w:rFonts w:cs="Courier New"/>
    </w:rPr>
  </w:style>
  <w:style w:styleId="style71" w:type="character">
    <w:name w:val="ListLabel 52"/>
    <w:next w:val="style71"/>
    <w:rPr>
      <w:rFonts w:cs="Wingdings"/>
    </w:rPr>
  </w:style>
  <w:style w:styleId="style72" w:type="character">
    <w:name w:val="ListLabel 53"/>
    <w:next w:val="style72"/>
    <w:rPr>
      <w:rFonts w:cs="Symbol"/>
    </w:rPr>
  </w:style>
  <w:style w:styleId="style73" w:type="character">
    <w:name w:val="ListLabel 54"/>
    <w:next w:val="style73"/>
    <w:rPr>
      <w:rFonts w:cs="OpenSymbol"/>
    </w:rPr>
  </w:style>
  <w:style w:styleId="style74" w:type="character">
    <w:name w:val="ListLabel 55"/>
    <w:next w:val="style74"/>
    <w:rPr>
      <w:rFonts w:cs="Calibri"/>
    </w:rPr>
  </w:style>
  <w:style w:styleId="style75" w:type="character">
    <w:name w:val="ListLabel 56"/>
    <w:next w:val="style75"/>
    <w:rPr>
      <w:rFonts w:cs="Courier New"/>
    </w:rPr>
  </w:style>
  <w:style w:styleId="style76" w:type="character">
    <w:name w:val="ListLabel 57"/>
    <w:next w:val="style76"/>
    <w:rPr>
      <w:rFonts w:cs="Wingdings"/>
    </w:rPr>
  </w:style>
  <w:style w:styleId="style77" w:type="character">
    <w:name w:val="ListLabel 58"/>
    <w:next w:val="style77"/>
    <w:rPr>
      <w:rFonts w:cs="Symbol"/>
    </w:rPr>
  </w:style>
  <w:style w:styleId="style78" w:type="character">
    <w:name w:val="ListLabel 59"/>
    <w:next w:val="style78"/>
    <w:rPr>
      <w:rFonts w:cs="OpenSymbol"/>
    </w:rPr>
  </w:style>
  <w:style w:styleId="style79" w:type="character">
    <w:name w:val="ListLabel 60"/>
    <w:next w:val="style79"/>
    <w:rPr>
      <w:rFonts w:cs="Calibri"/>
      <w:b/>
    </w:rPr>
  </w:style>
  <w:style w:styleId="style80" w:type="character">
    <w:name w:val="ListLabel 61"/>
    <w:next w:val="style80"/>
    <w:rPr>
      <w:rFonts w:cs="Courier New"/>
    </w:rPr>
  </w:style>
  <w:style w:styleId="style81" w:type="character">
    <w:name w:val="ListLabel 62"/>
    <w:next w:val="style81"/>
    <w:rPr>
      <w:rFonts w:cs="Wingdings"/>
    </w:rPr>
  </w:style>
  <w:style w:styleId="style82" w:type="character">
    <w:name w:val="ListLabel 63"/>
    <w:next w:val="style82"/>
    <w:rPr>
      <w:rFonts w:cs="Symbol"/>
    </w:rPr>
  </w:style>
  <w:style w:styleId="style83" w:type="character">
    <w:name w:val="ListLabel 64"/>
    <w:next w:val="style83"/>
    <w:rPr>
      <w:rFonts w:cs="Courier New"/>
    </w:rPr>
  </w:style>
  <w:style w:styleId="style84" w:type="character">
    <w:name w:val="ListLabel 65"/>
    <w:next w:val="style84"/>
    <w:rPr>
      <w:rFonts w:cs="Wingdings"/>
    </w:rPr>
  </w:style>
  <w:style w:styleId="style85" w:type="character">
    <w:name w:val="ListLabel 66"/>
    <w:next w:val="style85"/>
    <w:rPr>
      <w:rFonts w:cs="Symbol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rFonts w:cs="OpenSymbol"/>
    </w:rPr>
  </w:style>
  <w:style w:styleId="style90" w:type="character">
    <w:name w:val="ListLabel 71"/>
    <w:next w:val="style90"/>
    <w:rPr>
      <w:rFonts w:cs="OpenSymbol"/>
    </w:rPr>
  </w:style>
  <w:style w:styleId="style91" w:type="character">
    <w:name w:val="ListLabel 72"/>
    <w:next w:val="style91"/>
    <w:rPr>
      <w:rFonts w:cs="Symbol"/>
    </w:rPr>
  </w:style>
  <w:style w:styleId="style92" w:type="character">
    <w:name w:val="ListLabel 73"/>
    <w:next w:val="style92"/>
    <w:rPr>
      <w:rFonts w:cs="OpenSymbol"/>
    </w:rPr>
  </w:style>
  <w:style w:styleId="style93" w:type="character">
    <w:name w:val="ListLabel 74"/>
    <w:next w:val="style93"/>
    <w:rPr>
      <w:rFonts w:cs="OpenSymbol"/>
    </w:rPr>
  </w:style>
  <w:style w:styleId="style94" w:type="character">
    <w:name w:val="ListLabel 75"/>
    <w:next w:val="style94"/>
    <w:rPr>
      <w:rFonts w:cs="Symbol"/>
    </w:rPr>
  </w:style>
  <w:style w:styleId="style95" w:type="character">
    <w:name w:val="ListLabel 76"/>
    <w:next w:val="style95"/>
    <w:rPr>
      <w:rFonts w:cs="OpenSymbol"/>
    </w:rPr>
  </w:style>
  <w:style w:styleId="style96" w:type="character">
    <w:name w:val="ListLabel 77"/>
    <w:next w:val="style96"/>
    <w:rPr>
      <w:rFonts w:cs="OpenSymbol"/>
    </w:rPr>
  </w:style>
  <w:style w:styleId="style97" w:type="character">
    <w:name w:val="ListLabel 78"/>
    <w:next w:val="style97"/>
    <w:rPr>
      <w:rFonts w:cs="OpenSymbol"/>
    </w:rPr>
  </w:style>
  <w:style w:styleId="style98" w:type="character">
    <w:name w:val="ListLabel 79"/>
    <w:next w:val="style98"/>
    <w:rPr>
      <w:rFonts w:cs="Calibri"/>
      <w:b/>
    </w:rPr>
  </w:style>
  <w:style w:styleId="style99" w:type="character">
    <w:name w:val="ListLabel 80"/>
    <w:next w:val="style99"/>
    <w:rPr>
      <w:rFonts w:cs="Courier New"/>
    </w:rPr>
  </w:style>
  <w:style w:styleId="style100" w:type="character">
    <w:name w:val="ListLabel 81"/>
    <w:next w:val="style100"/>
    <w:rPr>
      <w:rFonts w:cs="Wingdings"/>
    </w:rPr>
  </w:style>
  <w:style w:styleId="style101" w:type="character">
    <w:name w:val="ListLabel 82"/>
    <w:next w:val="style101"/>
    <w:rPr>
      <w:rFonts w:cs="Symbol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rFonts w:cs="Calibri"/>
      <w:b/>
    </w:rPr>
  </w:style>
  <w:style w:styleId="style104" w:type="character">
    <w:name w:val="ListLabel 85"/>
    <w:next w:val="style104"/>
    <w:rPr>
      <w:rFonts w:cs="Courier New"/>
    </w:rPr>
  </w:style>
  <w:style w:styleId="style105" w:type="character">
    <w:name w:val="ListLabel 86"/>
    <w:next w:val="style105"/>
    <w:rPr>
      <w:rFonts w:cs="Wingdings"/>
    </w:rPr>
  </w:style>
  <w:style w:styleId="style106" w:type="character">
    <w:name w:val="ListLabel 87"/>
    <w:next w:val="style106"/>
    <w:rPr>
      <w:rFonts w:cs="OpenSymbol"/>
    </w:rPr>
  </w:style>
  <w:style w:styleId="style107" w:type="character">
    <w:name w:val="ListLabel 88"/>
    <w:next w:val="style107"/>
    <w:rPr>
      <w:rFonts w:cs="Symbol"/>
    </w:rPr>
  </w:style>
  <w:style w:styleId="style108" w:type="character">
    <w:name w:val="ListLabel 89"/>
    <w:next w:val="style108"/>
    <w:rPr>
      <w:rFonts w:cs="Calibri"/>
      <w:b/>
    </w:rPr>
  </w:style>
  <w:style w:styleId="style109" w:type="character">
    <w:name w:val="ListLabel 90"/>
    <w:next w:val="style109"/>
    <w:rPr>
      <w:rFonts w:cs="Courier New"/>
    </w:rPr>
  </w:style>
  <w:style w:styleId="style110" w:type="character">
    <w:name w:val="ListLabel 91"/>
    <w:next w:val="style110"/>
    <w:rPr>
      <w:rFonts w:cs="Wingdings"/>
    </w:rPr>
  </w:style>
  <w:style w:styleId="style111" w:type="character">
    <w:name w:val="ListLabel 92"/>
    <w:next w:val="style111"/>
    <w:rPr>
      <w:rFonts w:cs="OpenSymbol"/>
    </w:rPr>
  </w:style>
  <w:style w:styleId="style112" w:type="paragraph">
    <w:name w:val="Encabezado"/>
    <w:basedOn w:val="style0"/>
    <w:next w:val="style113"/>
    <w:pPr>
      <w:keepNext/>
      <w:tabs>
        <w:tab w:leader="none" w:pos="4252" w:val="center"/>
        <w:tab w:leader="none" w:pos="8504" w:val="right"/>
      </w:tabs>
      <w:spacing w:after="0" w:before="0" w:line="100" w:lineRule="atLeast"/>
    </w:pPr>
    <w:rPr>
      <w:rFonts w:ascii="Liberation Sans" w:cs="Mangal" w:eastAsia="Arial Unicode MS" w:hAnsi="Liberation Sans"/>
      <w:sz w:val="28"/>
      <w:szCs w:val="28"/>
    </w:rPr>
  </w:style>
  <w:style w:styleId="style113" w:type="paragraph">
    <w:name w:val="Cuerpo de texto"/>
    <w:basedOn w:val="style0"/>
    <w:next w:val="style113"/>
    <w:pPr>
      <w:spacing w:after="140" w:before="0" w:line="288" w:lineRule="auto"/>
    </w:pPr>
    <w:rPr/>
  </w:style>
  <w:style w:styleId="style114" w:type="paragraph">
    <w:name w:val="Lista"/>
    <w:basedOn w:val="style113"/>
    <w:next w:val="style114"/>
    <w:pPr/>
    <w:rPr>
      <w:rFonts w:cs="Mangal"/>
    </w:rPr>
  </w:style>
  <w:style w:styleId="style115" w:type="paragraph">
    <w:name w:val="Etiqueta"/>
    <w:basedOn w:val="style0"/>
    <w:next w:val="style11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16" w:type="paragraph">
    <w:name w:val="Índice"/>
    <w:basedOn w:val="style0"/>
    <w:next w:val="style116"/>
    <w:pPr>
      <w:suppressLineNumbers/>
    </w:pPr>
    <w:rPr>
      <w:rFonts w:cs="Mangal"/>
    </w:rPr>
  </w:style>
  <w:style w:styleId="style117" w:type="paragraph">
    <w:name w:val="Pie de foto"/>
    <w:basedOn w:val="style0"/>
    <w:next w:val="style11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18" w:type="paragraph">
    <w:name w:val="Pie"/>
    <w:basedOn w:val="style0"/>
    <w:next w:val="style1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19" w:type="paragraph">
    <w:name w:val="Balloon Text"/>
    <w:basedOn w:val="style0"/>
    <w:next w:val="style119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120" w:type="paragraph">
    <w:name w:val="List Paragraph"/>
    <w:basedOn w:val="style0"/>
    <w:next w:val="style120"/>
    <w:pPr>
      <w:spacing w:after="200" w:before="0"/>
      <w:ind w:hanging="0" w:left="720" w:right="0"/>
    </w:pPr>
    <w:rPr/>
  </w:style>
  <w:style w:styleId="style121" w:type="paragraph">
    <w:name w:val="Pie de página"/>
    <w:basedOn w:val="style0"/>
    <w:next w:val="style12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122" w:type="paragraph">
    <w:name w:val="Encabezamiento"/>
    <w:basedOn w:val="style0"/>
    <w:next w:val="style122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LibreOffice/5.1.2.2$Windows_x86 LibreOffice_project/d3bf12ecb743fc0d20e0be0c58ca359301eb705f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2017-04-27T20:22:00.00Z</dcterms:created>
  <dc:creator>Emilio</dc:creator>
  <dc:language>es</dc:language>
  <cp:lastPrinted>2017-03-29T17:57:00.00Z</cp:lastPrinted>
  <dcterms:modified xsi:type="dcterms:W3CDTF">2017-06-29T12:40:07.00Z</dcterms:modified>
  <cp:revision>13</cp:revision>
</cp:coreProperties>
</file>