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Licitación Pública Internacional N° 0</w:t>
      </w:r>
      <w:r w:rsidR="00C762CD">
        <w:rPr>
          <w:b/>
        </w:rPr>
        <w:t>8</w:t>
      </w:r>
      <w:r w:rsidRPr="009F66DB">
        <w:rPr>
          <w:b/>
        </w:rPr>
        <w:t>/2017</w:t>
      </w:r>
    </w:p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:rsidR="008A5A54" w:rsidRPr="009F66DB" w:rsidRDefault="008A5A54" w:rsidP="009F66DB">
      <w:pPr>
        <w:pBdr>
          <w:bottom w:val="single" w:sz="6" w:space="1" w:color="auto"/>
        </w:pBdr>
        <w:jc w:val="both"/>
        <w:rPr>
          <w:b/>
        </w:rPr>
      </w:pPr>
      <w:r w:rsidRPr="009F66DB">
        <w:rPr>
          <w:b/>
        </w:rPr>
        <w:t>Comunicado N° 1</w:t>
      </w:r>
      <w:r w:rsidR="002E7CDD">
        <w:rPr>
          <w:b/>
        </w:rPr>
        <w:t>6</w:t>
      </w:r>
    </w:p>
    <w:p w:rsidR="008A5A54" w:rsidRPr="009E2E1E" w:rsidRDefault="008A5A54" w:rsidP="009F66DB">
      <w:pPr>
        <w:jc w:val="both"/>
        <w:rPr>
          <w:b/>
        </w:rPr>
      </w:pPr>
      <w:r w:rsidRPr="009E2E1E">
        <w:rPr>
          <w:b/>
        </w:rPr>
        <w:t>Al amparo de lo establecido en la Cláusula 12 del Pliego de Condiciones Administrativas que rige la presente licitación, se realiza la siguiente</w:t>
      </w:r>
      <w:r w:rsidR="00273396">
        <w:rPr>
          <w:b/>
        </w:rPr>
        <w:t xml:space="preserve"> puntualizació</w:t>
      </w:r>
      <w:r w:rsidRPr="009E2E1E">
        <w:rPr>
          <w:b/>
        </w:rPr>
        <w:t>n:</w:t>
      </w:r>
    </w:p>
    <w:p w:rsidR="00D3162C" w:rsidRDefault="00D3162C" w:rsidP="00D3162C">
      <w:pPr>
        <w:jc w:val="both"/>
        <w:rPr>
          <w:b/>
          <w:caps/>
          <w:sz w:val="28"/>
          <w:szCs w:val="28"/>
          <w:u w:val="single"/>
        </w:rPr>
      </w:pPr>
      <w:r w:rsidRPr="00D3162C">
        <w:rPr>
          <w:b/>
          <w:caps/>
          <w:sz w:val="28"/>
          <w:szCs w:val="28"/>
          <w:u w:val="single"/>
        </w:rPr>
        <w:t xml:space="preserve">Puntualización 1 - </w:t>
      </w:r>
    </w:p>
    <w:p w:rsidR="00FD0023" w:rsidRPr="00FD0023" w:rsidRDefault="00FD0023" w:rsidP="00FD0023">
      <w:pPr>
        <w:tabs>
          <w:tab w:val="left" w:pos="1985"/>
        </w:tabs>
        <w:spacing w:after="0"/>
        <w:rPr>
          <w:u w:val="single"/>
        </w:rPr>
      </w:pPr>
      <w:r w:rsidRPr="00FD0023">
        <w:rPr>
          <w:u w:val="single"/>
        </w:rPr>
        <w:t>En la Cláusula 8.4.4 del Pliego de Condiciones Técnicas, en el indicador Q4-1,</w:t>
      </w:r>
    </w:p>
    <w:p w:rsidR="00FD0023" w:rsidRPr="00FD0023" w:rsidRDefault="00FD0023" w:rsidP="00FD0023">
      <w:pPr>
        <w:tabs>
          <w:tab w:val="left" w:pos="1985"/>
        </w:tabs>
        <w:spacing w:after="0"/>
        <w:rPr>
          <w:b/>
        </w:rPr>
      </w:pPr>
      <w:r w:rsidRPr="00FD0023">
        <w:rPr>
          <w:b/>
        </w:rPr>
        <w:t>Donde dice:</w:t>
      </w:r>
    </w:p>
    <w:p w:rsidR="00FD0023" w:rsidRDefault="00FD0023" w:rsidP="00FD0023">
      <w:pPr>
        <w:tabs>
          <w:tab w:val="left" w:pos="1985"/>
        </w:tabs>
        <w:spacing w:after="0"/>
      </w:pPr>
      <w:r>
        <w:t>Solución: Llevar a cabo capacitaciones y actualizar las capacitaciones.</w:t>
      </w:r>
    </w:p>
    <w:p w:rsidR="00FD0023" w:rsidRPr="00FD0023" w:rsidRDefault="00FD0023" w:rsidP="00FD0023">
      <w:pPr>
        <w:tabs>
          <w:tab w:val="left" w:pos="1985"/>
        </w:tabs>
        <w:spacing w:after="0"/>
        <w:rPr>
          <w:b/>
        </w:rPr>
      </w:pPr>
      <w:r w:rsidRPr="00FD0023">
        <w:rPr>
          <w:b/>
        </w:rPr>
        <w:t>Debe decir:</w:t>
      </w:r>
    </w:p>
    <w:p w:rsidR="00FD0023" w:rsidRDefault="00FD0023" w:rsidP="00FD0023">
      <w:pPr>
        <w:tabs>
          <w:tab w:val="left" w:pos="1985"/>
        </w:tabs>
      </w:pPr>
      <w:r>
        <w:t>Solución: Entregar Guía de Uso y realizar capacitación en los Centros que corresponda.</w:t>
      </w:r>
    </w:p>
    <w:p w:rsidR="00FD0023" w:rsidRPr="00FD0023" w:rsidRDefault="00FD0023" w:rsidP="00FD0023">
      <w:pPr>
        <w:spacing w:after="0"/>
        <w:jc w:val="both"/>
        <w:rPr>
          <w:u w:val="single"/>
        </w:rPr>
      </w:pPr>
      <w:r w:rsidRPr="00FD0023">
        <w:rPr>
          <w:u w:val="single"/>
        </w:rPr>
        <w:t>En la Cláusula 8.4.4 del Pliego de Condiciones Técnicas, el texto del indicador Q4-3 será sustituido por lo siguiente:</w:t>
      </w:r>
    </w:p>
    <w:tbl>
      <w:tblPr>
        <w:tblStyle w:val="Tablanormal112"/>
        <w:tblW w:w="4999" w:type="pct"/>
        <w:tblLayout w:type="fixed"/>
        <w:tblLook w:val="0000"/>
      </w:tblPr>
      <w:tblGrid>
        <w:gridCol w:w="640"/>
        <w:gridCol w:w="4035"/>
        <w:gridCol w:w="1561"/>
        <w:gridCol w:w="3301"/>
        <w:gridCol w:w="3125"/>
        <w:gridCol w:w="1555"/>
      </w:tblGrid>
      <w:tr w:rsidR="00FD0023" w:rsidRPr="00DE5810" w:rsidTr="00B223A9">
        <w:trPr>
          <w:trHeight w:val="545"/>
          <w:tblHeader/>
        </w:trPr>
        <w:tc>
          <w:tcPr>
            <w:cnfStyle w:val="000010000000"/>
            <w:tcW w:w="225" w:type="pct"/>
            <w:shd w:val="clear" w:color="auto" w:fill="C4BC96" w:themeFill="background2" w:themeFillShade="BF"/>
            <w:vAlign w:val="center"/>
          </w:tcPr>
          <w:p w:rsidR="00FD0023" w:rsidRPr="00DE5810" w:rsidRDefault="00FD0023" w:rsidP="00B223A9">
            <w:pPr>
              <w:rPr>
                <w:rFonts w:cstheme="minorHAnsi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419" w:type="pct"/>
            <w:shd w:val="clear" w:color="auto" w:fill="C4BC96" w:themeFill="background2" w:themeFillShade="BF"/>
            <w:vAlign w:val="center"/>
          </w:tcPr>
          <w:p w:rsidR="00FD0023" w:rsidRPr="00DE5810" w:rsidRDefault="00FD0023" w:rsidP="00B223A9">
            <w:pPr>
              <w:cnfStyle w:val="000000000000"/>
              <w:rPr>
                <w:rFonts w:cstheme="minorHAnsi"/>
                <w:b/>
                <w:bCs/>
                <w:sz w:val="17"/>
                <w:szCs w:val="17"/>
                <w:lang w:val="es-ES"/>
              </w:rPr>
            </w:pPr>
            <w:r w:rsidRPr="00DE5810">
              <w:rPr>
                <w:rFonts w:cstheme="minorHAnsi"/>
                <w:b/>
                <w:bCs/>
                <w:sz w:val="17"/>
                <w:szCs w:val="17"/>
                <w:lang w:val="es-ES"/>
              </w:rPr>
              <w:t>Estándar de Calidad No Reactivo</w:t>
            </w:r>
          </w:p>
        </w:tc>
        <w:tc>
          <w:tcPr>
            <w:cnfStyle w:val="000010000000"/>
            <w:tcW w:w="549" w:type="pct"/>
            <w:shd w:val="clear" w:color="auto" w:fill="C4BC96" w:themeFill="background2" w:themeFillShade="BF"/>
            <w:vAlign w:val="center"/>
          </w:tcPr>
          <w:p w:rsidR="00FD0023" w:rsidRPr="00DE5810" w:rsidRDefault="00FD0023" w:rsidP="00B223A9">
            <w:pPr>
              <w:rPr>
                <w:rFonts w:cstheme="minorHAnsi"/>
                <w:b/>
                <w:bCs/>
                <w:sz w:val="17"/>
                <w:szCs w:val="17"/>
                <w:lang w:val="es-ES"/>
              </w:rPr>
            </w:pPr>
            <w:r w:rsidRPr="00DE5810">
              <w:rPr>
                <w:rFonts w:cstheme="minorHAnsi"/>
                <w:b/>
                <w:bCs/>
                <w:sz w:val="17"/>
                <w:szCs w:val="17"/>
                <w:lang w:val="es-ES"/>
              </w:rPr>
              <w:t>Prioridad</w:t>
            </w:r>
          </w:p>
        </w:tc>
        <w:tc>
          <w:tcPr>
            <w:tcW w:w="1161" w:type="pct"/>
            <w:shd w:val="clear" w:color="auto" w:fill="C4BC96" w:themeFill="background2" w:themeFillShade="BF"/>
            <w:vAlign w:val="center"/>
          </w:tcPr>
          <w:p w:rsidR="00FD0023" w:rsidRPr="00DE5810" w:rsidRDefault="00FD0023" w:rsidP="00B223A9">
            <w:pPr>
              <w:cnfStyle w:val="000000000000"/>
              <w:rPr>
                <w:rFonts w:cstheme="minorHAnsi"/>
                <w:b/>
                <w:bCs/>
                <w:sz w:val="17"/>
                <w:szCs w:val="17"/>
                <w:lang w:val="es-ES"/>
              </w:rPr>
            </w:pPr>
            <w:r w:rsidRPr="00DE5810">
              <w:rPr>
                <w:rFonts w:cstheme="minorHAnsi"/>
                <w:b/>
                <w:bCs/>
                <w:sz w:val="17"/>
                <w:szCs w:val="17"/>
                <w:lang w:val="es-ES"/>
              </w:rPr>
              <w:t>Método de Verificación</w:t>
            </w:r>
          </w:p>
        </w:tc>
        <w:tc>
          <w:tcPr>
            <w:cnfStyle w:val="000010000000"/>
            <w:tcW w:w="1099" w:type="pct"/>
            <w:shd w:val="clear" w:color="auto" w:fill="C4BC96" w:themeFill="background2" w:themeFillShade="BF"/>
            <w:vAlign w:val="center"/>
          </w:tcPr>
          <w:p w:rsidR="00FD0023" w:rsidRPr="00DE5810" w:rsidRDefault="00FD0023" w:rsidP="00B223A9">
            <w:pPr>
              <w:rPr>
                <w:rFonts w:cstheme="minorHAnsi"/>
                <w:b/>
                <w:bCs/>
                <w:sz w:val="17"/>
                <w:szCs w:val="17"/>
                <w:lang w:val="es-ES"/>
              </w:rPr>
            </w:pPr>
            <w:r w:rsidRPr="00DE5810">
              <w:rPr>
                <w:rFonts w:cstheme="minorHAnsi"/>
                <w:b/>
                <w:bCs/>
                <w:sz w:val="17"/>
                <w:szCs w:val="17"/>
                <w:lang w:val="es-ES"/>
              </w:rPr>
              <w:t xml:space="preserve">Solución </w:t>
            </w:r>
          </w:p>
        </w:tc>
        <w:tc>
          <w:tcPr>
            <w:tcW w:w="547" w:type="pct"/>
            <w:shd w:val="clear" w:color="auto" w:fill="C4BC96" w:themeFill="background2" w:themeFillShade="BF"/>
            <w:vAlign w:val="center"/>
          </w:tcPr>
          <w:p w:rsidR="00FD0023" w:rsidRPr="00DE5810" w:rsidRDefault="00FD0023" w:rsidP="00B223A9">
            <w:pPr>
              <w:cnfStyle w:val="000000000000"/>
              <w:rPr>
                <w:rFonts w:cstheme="minorHAnsi"/>
                <w:b/>
                <w:bCs/>
                <w:sz w:val="17"/>
                <w:szCs w:val="17"/>
                <w:lang w:val="es-ES"/>
              </w:rPr>
            </w:pPr>
            <w:r w:rsidRPr="00DE5810">
              <w:rPr>
                <w:rFonts w:cstheme="minorHAnsi"/>
                <w:b/>
                <w:bCs/>
                <w:sz w:val="17"/>
                <w:szCs w:val="17"/>
                <w:lang w:val="es-ES"/>
              </w:rPr>
              <w:t>Unidades de Servicio Aplicables</w:t>
            </w:r>
          </w:p>
        </w:tc>
      </w:tr>
      <w:tr w:rsidR="00FD0023" w:rsidRPr="00201975" w:rsidTr="00B223A9">
        <w:trPr>
          <w:cnfStyle w:val="000000100000"/>
          <w:trHeight w:val="255"/>
        </w:trPr>
        <w:tc>
          <w:tcPr>
            <w:cnfStyle w:val="000010000000"/>
            <w:tcW w:w="5000" w:type="pct"/>
            <w:gridSpan w:val="6"/>
          </w:tcPr>
          <w:p w:rsidR="00FD0023" w:rsidRPr="00DE5810" w:rsidRDefault="00FD0023" w:rsidP="00B223A9">
            <w:pPr>
              <w:spacing w:after="120"/>
              <w:jc w:val="both"/>
              <w:rPr>
                <w:rFonts w:cstheme="minorHAnsi"/>
                <w:sz w:val="17"/>
                <w:szCs w:val="17"/>
                <w:lang w:val="es-ES"/>
              </w:rPr>
            </w:pPr>
            <w:r>
              <w:rPr>
                <w:rFonts w:cstheme="minorHAnsi"/>
                <w:sz w:val="17"/>
                <w:szCs w:val="17"/>
                <w:lang w:val="es-ES"/>
              </w:rPr>
              <w:t xml:space="preserve">Protocolo de Reportes de Evento de Servicio </w:t>
            </w:r>
          </w:p>
        </w:tc>
      </w:tr>
      <w:tr w:rsidR="00FD0023" w:rsidRPr="00201975" w:rsidTr="00FD0023">
        <w:trPr>
          <w:trHeight w:val="2346"/>
        </w:trPr>
        <w:tc>
          <w:tcPr>
            <w:cnfStyle w:val="000010000000"/>
            <w:tcW w:w="225" w:type="pct"/>
            <w:shd w:val="clear" w:color="auto" w:fill="auto"/>
            <w:noWrap/>
          </w:tcPr>
          <w:p w:rsidR="00FD0023" w:rsidRPr="00DE5810" w:rsidRDefault="00FD0023" w:rsidP="00B223A9">
            <w:pPr>
              <w:spacing w:after="120"/>
              <w:jc w:val="both"/>
              <w:rPr>
                <w:rFonts w:eastAsia="Times New Roman" w:cstheme="minorHAnsi"/>
                <w:lang w:val="es-ES" w:eastAsia="en-GB"/>
              </w:rPr>
            </w:pPr>
            <w:r w:rsidRPr="00DE5810">
              <w:rPr>
                <w:rFonts w:eastAsia="Times New Roman" w:cstheme="minorHAnsi"/>
                <w:sz w:val="17"/>
                <w:szCs w:val="17"/>
                <w:lang w:val="es-ES" w:eastAsia="en-GB"/>
              </w:rPr>
              <w:t>Q4-3</w:t>
            </w:r>
          </w:p>
        </w:tc>
        <w:tc>
          <w:tcPr>
            <w:tcW w:w="1419" w:type="pct"/>
            <w:shd w:val="clear" w:color="auto" w:fill="auto"/>
          </w:tcPr>
          <w:p w:rsidR="00FD0023" w:rsidRPr="00262144" w:rsidRDefault="00FD0023" w:rsidP="00B223A9">
            <w:pPr>
              <w:pStyle w:val="Default"/>
              <w:cnfStyle w:val="000000000000"/>
              <w:rPr>
                <w:rFonts w:asciiTheme="minorHAnsi" w:hAnsiTheme="minorHAnsi" w:cstheme="minorHAnsi"/>
                <w:color w:val="auto"/>
                <w:sz w:val="17"/>
                <w:szCs w:val="17"/>
                <w:lang w:val="es-ES"/>
              </w:rPr>
            </w:pPr>
            <w:r w:rsidRPr="00262144">
              <w:rPr>
                <w:rFonts w:asciiTheme="minorHAnsi" w:hAnsiTheme="minorHAnsi" w:cstheme="minorHAnsi"/>
                <w:color w:val="auto"/>
                <w:sz w:val="17"/>
                <w:szCs w:val="17"/>
                <w:lang w:val="es-ES"/>
              </w:rPr>
              <w:t xml:space="preserve">La contratista debe documentar todos los Reportes de Evento de Servicio siguiendo el requerimiento establecido en el Anexo A.2. </w:t>
            </w:r>
          </w:p>
          <w:p w:rsidR="00FD0023" w:rsidRPr="00DE5810" w:rsidRDefault="00FD0023" w:rsidP="00B223A9">
            <w:pPr>
              <w:spacing w:after="120"/>
              <w:cnfStyle w:val="000000000000"/>
              <w:rPr>
                <w:rFonts w:cstheme="minorHAnsi"/>
                <w:sz w:val="17"/>
                <w:szCs w:val="17"/>
                <w:lang w:val="es-ES"/>
              </w:rPr>
            </w:pPr>
          </w:p>
        </w:tc>
        <w:tc>
          <w:tcPr>
            <w:cnfStyle w:val="000010000000"/>
            <w:tcW w:w="549" w:type="pct"/>
            <w:shd w:val="clear" w:color="auto" w:fill="auto"/>
          </w:tcPr>
          <w:p w:rsidR="00FD0023" w:rsidRPr="00DE5810" w:rsidRDefault="00FD0023" w:rsidP="00B223A9">
            <w:pPr>
              <w:spacing w:after="120"/>
              <w:jc w:val="both"/>
              <w:rPr>
                <w:rFonts w:cstheme="minorHAnsi"/>
                <w:sz w:val="17"/>
                <w:szCs w:val="17"/>
                <w:lang w:val="es-ES"/>
              </w:rPr>
            </w:pPr>
            <w:r>
              <w:rPr>
                <w:rFonts w:cstheme="minorHAnsi"/>
                <w:sz w:val="17"/>
                <w:szCs w:val="17"/>
                <w:lang w:val="es-ES"/>
              </w:rPr>
              <w:t>Baja</w:t>
            </w:r>
          </w:p>
        </w:tc>
        <w:tc>
          <w:tcPr>
            <w:tcW w:w="1161" w:type="pct"/>
            <w:shd w:val="clear" w:color="auto" w:fill="auto"/>
            <w:noWrap/>
          </w:tcPr>
          <w:p w:rsidR="00FD0023" w:rsidRPr="00262144" w:rsidRDefault="00FD0023" w:rsidP="00B223A9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b/>
                <w:color w:val="auto"/>
                <w:sz w:val="17"/>
                <w:szCs w:val="17"/>
                <w:lang w:val="es-ES"/>
              </w:rPr>
            </w:pPr>
            <w:r w:rsidRPr="00262144">
              <w:rPr>
                <w:rFonts w:asciiTheme="minorHAnsi" w:hAnsiTheme="minorHAnsi" w:cstheme="minorHAnsi"/>
                <w:b/>
                <w:color w:val="auto"/>
                <w:sz w:val="17"/>
                <w:szCs w:val="17"/>
                <w:lang w:val="es-ES"/>
              </w:rPr>
              <w:t xml:space="preserve">Frecuencia de Verificación de Calidad: </w:t>
            </w:r>
          </w:p>
          <w:p w:rsidR="00FD0023" w:rsidRPr="00262144" w:rsidRDefault="00FD0023" w:rsidP="00B223A9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7"/>
                <w:szCs w:val="17"/>
                <w:lang w:val="es-ES"/>
              </w:rPr>
            </w:pPr>
          </w:p>
          <w:p w:rsidR="00FD0023" w:rsidRPr="00262144" w:rsidRDefault="00FD0023" w:rsidP="00B223A9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7"/>
                <w:szCs w:val="17"/>
                <w:lang w:val="es-ES"/>
              </w:rPr>
            </w:pPr>
            <w:r w:rsidRPr="00262144">
              <w:rPr>
                <w:rFonts w:asciiTheme="minorHAnsi" w:hAnsiTheme="minorHAnsi" w:cstheme="minorHAnsi"/>
                <w:color w:val="auto"/>
                <w:sz w:val="17"/>
                <w:szCs w:val="17"/>
                <w:lang w:val="es-ES"/>
              </w:rPr>
              <w:t xml:space="preserve">Mensual </w:t>
            </w:r>
          </w:p>
          <w:p w:rsidR="00FD0023" w:rsidRPr="00262144" w:rsidRDefault="00FD0023" w:rsidP="00B223A9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7"/>
                <w:szCs w:val="17"/>
                <w:lang w:val="es-ES"/>
              </w:rPr>
            </w:pPr>
          </w:p>
          <w:p w:rsidR="00FD0023" w:rsidRPr="00262144" w:rsidRDefault="00FD0023" w:rsidP="00B223A9">
            <w:pPr>
              <w:pStyle w:val="Default"/>
              <w:jc w:val="both"/>
              <w:cnfStyle w:val="000000000000"/>
              <w:rPr>
                <w:rFonts w:asciiTheme="minorHAnsi" w:hAnsiTheme="minorHAnsi" w:cstheme="minorHAnsi"/>
                <w:b/>
                <w:color w:val="auto"/>
                <w:sz w:val="17"/>
                <w:szCs w:val="17"/>
                <w:lang w:val="es-ES"/>
              </w:rPr>
            </w:pPr>
            <w:r w:rsidRPr="00262144">
              <w:rPr>
                <w:rFonts w:asciiTheme="minorHAnsi" w:hAnsiTheme="minorHAnsi" w:cstheme="minorHAnsi"/>
                <w:b/>
                <w:color w:val="auto"/>
                <w:sz w:val="17"/>
                <w:szCs w:val="17"/>
                <w:lang w:val="es-ES"/>
              </w:rPr>
              <w:t xml:space="preserve">Método de Verificación de Calidad: </w:t>
            </w:r>
          </w:p>
          <w:p w:rsidR="00FD0023" w:rsidRPr="00262144" w:rsidRDefault="00FD0023" w:rsidP="00B223A9">
            <w:pPr>
              <w:spacing w:after="120"/>
              <w:cnfStyle w:val="000000000000"/>
              <w:rPr>
                <w:rFonts w:cstheme="minorHAnsi"/>
                <w:strike/>
                <w:sz w:val="17"/>
                <w:szCs w:val="17"/>
                <w:lang w:val="es-UY"/>
              </w:rPr>
            </w:pPr>
            <w:r>
              <w:rPr>
                <w:rFonts w:cstheme="minorHAnsi"/>
                <w:sz w:val="17"/>
                <w:szCs w:val="17"/>
                <w:lang w:val="es-ES"/>
              </w:rPr>
              <w:t>Revisión</w:t>
            </w:r>
            <w:r w:rsidRPr="00262144">
              <w:rPr>
                <w:rFonts w:cstheme="minorHAnsi"/>
                <w:sz w:val="17"/>
                <w:szCs w:val="17"/>
                <w:lang w:val="es-ES"/>
              </w:rPr>
              <w:t xml:space="preserve"> de los registros del Sistema informático.</w:t>
            </w:r>
            <w:r w:rsidRPr="00262144">
              <w:rPr>
                <w:sz w:val="17"/>
                <w:szCs w:val="17"/>
                <w:lang w:val="es-UY"/>
              </w:rPr>
              <w:t xml:space="preserve"> </w:t>
            </w:r>
          </w:p>
        </w:tc>
        <w:tc>
          <w:tcPr>
            <w:cnfStyle w:val="000010000000"/>
            <w:tcW w:w="1099" w:type="pct"/>
            <w:shd w:val="clear" w:color="auto" w:fill="auto"/>
            <w:noWrap/>
          </w:tcPr>
          <w:p w:rsidR="00FD0023" w:rsidRPr="00DE5810" w:rsidRDefault="00FD0023" w:rsidP="00B223A9">
            <w:pPr>
              <w:spacing w:after="120"/>
              <w:jc w:val="both"/>
              <w:rPr>
                <w:rFonts w:cstheme="minorHAnsi"/>
                <w:b/>
                <w:sz w:val="17"/>
                <w:szCs w:val="17"/>
                <w:lang w:val="es-ES"/>
              </w:rPr>
            </w:pPr>
            <w:r w:rsidRPr="00DE5810">
              <w:rPr>
                <w:rFonts w:cstheme="minorHAnsi"/>
                <w:b/>
                <w:sz w:val="17"/>
                <w:szCs w:val="17"/>
                <w:lang w:val="es-ES"/>
              </w:rPr>
              <w:t>Plazo de Solución:</w:t>
            </w:r>
          </w:p>
          <w:p w:rsidR="00FD0023" w:rsidRDefault="00FD0023" w:rsidP="00B223A9">
            <w:pPr>
              <w:spacing w:after="120"/>
              <w:jc w:val="both"/>
              <w:rPr>
                <w:rFonts w:cstheme="minorHAnsi"/>
                <w:sz w:val="17"/>
                <w:szCs w:val="17"/>
                <w:lang w:val="es-ES"/>
              </w:rPr>
            </w:pPr>
            <w:r>
              <w:rPr>
                <w:rFonts w:cstheme="minorHAnsi"/>
                <w:sz w:val="17"/>
                <w:szCs w:val="17"/>
                <w:lang w:val="es-ES"/>
              </w:rPr>
              <w:t>3</w:t>
            </w:r>
            <w:r w:rsidRPr="00DE5810">
              <w:rPr>
                <w:rFonts w:cstheme="minorHAnsi"/>
                <w:sz w:val="17"/>
                <w:szCs w:val="17"/>
                <w:lang w:val="es-ES"/>
              </w:rPr>
              <w:t xml:space="preserve"> días hábiles.</w:t>
            </w:r>
          </w:p>
          <w:p w:rsidR="00FD0023" w:rsidRPr="00DE5810" w:rsidRDefault="00FD0023" w:rsidP="00B223A9">
            <w:pPr>
              <w:spacing w:after="120"/>
              <w:jc w:val="both"/>
              <w:rPr>
                <w:rFonts w:cstheme="minorHAnsi"/>
                <w:sz w:val="17"/>
                <w:szCs w:val="17"/>
                <w:lang w:val="es-ES"/>
              </w:rPr>
            </w:pPr>
            <w:r w:rsidRPr="0098210E">
              <w:rPr>
                <w:rFonts w:ascii="Calibri" w:hAnsi="Calibri" w:cs="Calibri"/>
                <w:color w:val="000000"/>
                <w:sz w:val="17"/>
                <w:szCs w:val="17"/>
                <w:lang w:val="es-UY"/>
              </w:rPr>
              <w:t xml:space="preserve">Comienzan el primer día </w:t>
            </w:r>
            <w:r>
              <w:rPr>
                <w:rFonts w:ascii="Calibri" w:hAnsi="Calibri" w:cs="Calibri"/>
                <w:color w:val="000000"/>
                <w:sz w:val="17"/>
                <w:szCs w:val="17"/>
                <w:lang w:val="es-UY"/>
              </w:rPr>
              <w:t>hábil después de haberse detectado errores u omisiones</w:t>
            </w:r>
            <w:r w:rsidRPr="0098210E">
              <w:rPr>
                <w:rFonts w:ascii="Calibri" w:hAnsi="Calibri" w:cs="Calibri"/>
                <w:color w:val="000000"/>
                <w:sz w:val="17"/>
                <w:szCs w:val="17"/>
                <w:lang w:val="es-UY"/>
              </w:rPr>
              <w:t>.</w:t>
            </w:r>
          </w:p>
          <w:p w:rsidR="00FD0023" w:rsidRDefault="00FD0023" w:rsidP="00B223A9">
            <w:pPr>
              <w:spacing w:after="120"/>
              <w:jc w:val="both"/>
              <w:rPr>
                <w:rFonts w:cstheme="minorHAnsi"/>
                <w:sz w:val="17"/>
                <w:szCs w:val="17"/>
                <w:lang w:val="es-ES"/>
              </w:rPr>
            </w:pPr>
            <w:r w:rsidRPr="00DE5810">
              <w:rPr>
                <w:rFonts w:cstheme="minorHAnsi"/>
                <w:b/>
                <w:sz w:val="17"/>
                <w:szCs w:val="17"/>
                <w:lang w:val="es-ES"/>
              </w:rPr>
              <w:t xml:space="preserve">Solución: </w:t>
            </w:r>
          </w:p>
          <w:p w:rsidR="00FD0023" w:rsidRPr="00DE5810" w:rsidRDefault="00FD0023" w:rsidP="00B223A9">
            <w:pPr>
              <w:spacing w:after="120"/>
              <w:rPr>
                <w:rFonts w:cstheme="minorHAnsi"/>
                <w:sz w:val="17"/>
                <w:szCs w:val="17"/>
                <w:lang w:val="es-ES"/>
              </w:rPr>
            </w:pPr>
            <w:r w:rsidRPr="00A05637">
              <w:rPr>
                <w:rFonts w:ascii="Calibri" w:hAnsi="Calibri" w:cs="Calibri"/>
                <w:color w:val="000000"/>
                <w:sz w:val="17"/>
                <w:szCs w:val="17"/>
                <w:lang w:val="es-UY"/>
              </w:rPr>
              <w:t>Se completan y corrigen los registros y se actualiza el Informe de Servicio Mensual. En caso necesario, se actualiza el Informe de Servicio Anual.</w:t>
            </w:r>
          </w:p>
        </w:tc>
        <w:tc>
          <w:tcPr>
            <w:tcW w:w="547" w:type="pct"/>
            <w:shd w:val="clear" w:color="auto" w:fill="auto"/>
          </w:tcPr>
          <w:p w:rsidR="00FD0023" w:rsidRPr="00DE5810" w:rsidRDefault="00FD0023" w:rsidP="00B223A9">
            <w:pPr>
              <w:spacing w:after="120"/>
              <w:cnfStyle w:val="000000000000"/>
              <w:rPr>
                <w:rFonts w:cstheme="minorHAnsi"/>
                <w:sz w:val="17"/>
                <w:szCs w:val="17"/>
                <w:lang w:val="es-ES"/>
              </w:rPr>
            </w:pPr>
            <w:r w:rsidRPr="00DE5810">
              <w:rPr>
                <w:rFonts w:cstheme="minorHAnsi"/>
                <w:sz w:val="17"/>
                <w:szCs w:val="17"/>
                <w:lang w:val="es-ES"/>
              </w:rPr>
              <w:t>Las totales de</w:t>
            </w:r>
            <w:r>
              <w:rPr>
                <w:rFonts w:cstheme="minorHAnsi"/>
                <w:sz w:val="17"/>
                <w:szCs w:val="17"/>
                <w:lang w:val="es-ES"/>
              </w:rPr>
              <w:t xml:space="preserve"> los</w:t>
            </w:r>
            <w:r w:rsidRPr="00DE5810">
              <w:rPr>
                <w:rFonts w:cstheme="minorHAnsi"/>
                <w:sz w:val="17"/>
                <w:szCs w:val="17"/>
                <w:lang w:val="es-ES"/>
              </w:rPr>
              <w:t xml:space="preserve"> Centro</w:t>
            </w:r>
            <w:r>
              <w:rPr>
                <w:rFonts w:cstheme="minorHAnsi"/>
                <w:sz w:val="17"/>
                <w:szCs w:val="17"/>
                <w:lang w:val="es-ES"/>
              </w:rPr>
              <w:t>s</w:t>
            </w:r>
            <w:r w:rsidRPr="00DE5810">
              <w:rPr>
                <w:rFonts w:cstheme="minorHAnsi"/>
                <w:sz w:val="17"/>
                <w:szCs w:val="17"/>
                <w:lang w:val="es-ES"/>
              </w:rPr>
              <w:t xml:space="preserve"> </w:t>
            </w:r>
            <w:r w:rsidRPr="00A05637">
              <w:rPr>
                <w:rFonts w:cstheme="minorHAnsi"/>
                <w:sz w:val="17"/>
                <w:szCs w:val="17"/>
                <w:lang w:val="es-ES"/>
              </w:rPr>
              <w:t>que tuvieran Reportes de Eventos de Servic</w:t>
            </w:r>
            <w:r>
              <w:rPr>
                <w:rFonts w:cstheme="minorHAnsi"/>
                <w:sz w:val="17"/>
                <w:szCs w:val="17"/>
                <w:lang w:val="es-ES"/>
              </w:rPr>
              <w:t>io incorrectamente documentados</w:t>
            </w:r>
            <w:r w:rsidRPr="00DE5810">
              <w:rPr>
                <w:rFonts w:cstheme="minorHAnsi"/>
                <w:sz w:val="17"/>
                <w:szCs w:val="17"/>
                <w:lang w:val="es-ES"/>
              </w:rPr>
              <w:t>.</w:t>
            </w:r>
          </w:p>
          <w:p w:rsidR="00FD0023" w:rsidRPr="00DE5810" w:rsidRDefault="00FD0023" w:rsidP="00B223A9">
            <w:pPr>
              <w:spacing w:after="120"/>
              <w:jc w:val="both"/>
              <w:cnfStyle w:val="000000000000"/>
              <w:rPr>
                <w:rFonts w:cstheme="minorHAnsi"/>
                <w:sz w:val="17"/>
                <w:szCs w:val="17"/>
                <w:lang w:val="es-ES"/>
              </w:rPr>
            </w:pPr>
          </w:p>
        </w:tc>
      </w:tr>
    </w:tbl>
    <w:p w:rsidR="00FD0023" w:rsidRPr="00D3162C" w:rsidRDefault="00FD0023" w:rsidP="00FD0023">
      <w:pPr>
        <w:jc w:val="both"/>
        <w:rPr>
          <w:b/>
          <w:caps/>
          <w:sz w:val="28"/>
          <w:szCs w:val="28"/>
          <w:u w:val="single"/>
        </w:rPr>
      </w:pPr>
    </w:p>
    <w:sectPr w:rsidR="00FD0023" w:rsidRPr="00D3162C" w:rsidSect="00FD0023">
      <w:head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54" w:rsidRDefault="008A5A54" w:rsidP="008A5A54">
      <w:pPr>
        <w:spacing w:after="0" w:line="240" w:lineRule="auto"/>
      </w:pPr>
      <w:r>
        <w:separator/>
      </w:r>
    </w:p>
  </w:endnote>
  <w:endnote w:type="continuationSeparator" w:id="1">
    <w:p w:rsidR="008A5A54" w:rsidRDefault="008A5A54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54" w:rsidRDefault="008A5A54" w:rsidP="008A5A54">
      <w:pPr>
        <w:spacing w:after="0" w:line="240" w:lineRule="auto"/>
      </w:pPr>
      <w:r>
        <w:separator/>
      </w:r>
    </w:p>
  </w:footnote>
  <w:footnote w:type="continuationSeparator" w:id="1">
    <w:p w:rsidR="008A5A54" w:rsidRDefault="008A5A54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54" w:rsidRPr="008A5A54" w:rsidRDefault="008A5A54" w:rsidP="008A5A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>
      <w:start w:val="1"/>
      <w:numFmt w:val="lowerLetter"/>
      <w:lvlText w:val="%2."/>
      <w:lvlJc w:val="left"/>
      <w:pPr>
        <w:ind w:left="2716" w:hanging="360"/>
      </w:pPr>
    </w:lvl>
    <w:lvl w:ilvl="2" w:tplc="380A001B">
      <w:start w:val="1"/>
      <w:numFmt w:val="lowerRoman"/>
      <w:lvlText w:val="%3."/>
      <w:lvlJc w:val="right"/>
      <w:pPr>
        <w:ind w:left="3436" w:hanging="180"/>
      </w:pPr>
    </w:lvl>
    <w:lvl w:ilvl="3" w:tplc="380A000F">
      <w:start w:val="1"/>
      <w:numFmt w:val="decimal"/>
      <w:lvlText w:val="%4."/>
      <w:lvlJc w:val="left"/>
      <w:pPr>
        <w:ind w:left="4156" w:hanging="360"/>
      </w:pPr>
    </w:lvl>
    <w:lvl w:ilvl="4" w:tplc="380A0019">
      <w:start w:val="1"/>
      <w:numFmt w:val="lowerLetter"/>
      <w:lvlText w:val="%5."/>
      <w:lvlJc w:val="left"/>
      <w:pPr>
        <w:ind w:left="4876" w:hanging="360"/>
      </w:pPr>
    </w:lvl>
    <w:lvl w:ilvl="5" w:tplc="380A001B">
      <w:start w:val="1"/>
      <w:numFmt w:val="lowerRoman"/>
      <w:lvlText w:val="%6."/>
      <w:lvlJc w:val="right"/>
      <w:pPr>
        <w:ind w:left="5596" w:hanging="180"/>
      </w:pPr>
    </w:lvl>
    <w:lvl w:ilvl="6" w:tplc="380A000F">
      <w:start w:val="1"/>
      <w:numFmt w:val="decimal"/>
      <w:lvlText w:val="%7."/>
      <w:lvlJc w:val="left"/>
      <w:pPr>
        <w:ind w:left="6316" w:hanging="360"/>
      </w:pPr>
    </w:lvl>
    <w:lvl w:ilvl="7" w:tplc="380A0019">
      <w:start w:val="1"/>
      <w:numFmt w:val="lowerLetter"/>
      <w:lvlText w:val="%8."/>
      <w:lvlJc w:val="left"/>
      <w:pPr>
        <w:ind w:left="7036" w:hanging="360"/>
      </w:pPr>
    </w:lvl>
    <w:lvl w:ilvl="8" w:tplc="380A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5BA05EA"/>
    <w:multiLevelType w:val="hybridMultilevel"/>
    <w:tmpl w:val="67860BB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140BFA"/>
    <w:multiLevelType w:val="hybridMultilevel"/>
    <w:tmpl w:val="54DCDD4A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A5A54"/>
    <w:rsid w:val="00001BE9"/>
    <w:rsid w:val="00034A7F"/>
    <w:rsid w:val="000C4C7A"/>
    <w:rsid w:val="000D4456"/>
    <w:rsid w:val="0018782C"/>
    <w:rsid w:val="001A2E44"/>
    <w:rsid w:val="001D390E"/>
    <w:rsid w:val="001D3A18"/>
    <w:rsid w:val="00215E1E"/>
    <w:rsid w:val="00246189"/>
    <w:rsid w:val="00261BB8"/>
    <w:rsid w:val="00273396"/>
    <w:rsid w:val="00285DFB"/>
    <w:rsid w:val="002C7E8D"/>
    <w:rsid w:val="002E7CDD"/>
    <w:rsid w:val="002F3FF5"/>
    <w:rsid w:val="00396F63"/>
    <w:rsid w:val="00406003"/>
    <w:rsid w:val="00434F17"/>
    <w:rsid w:val="00437FD8"/>
    <w:rsid w:val="004D7F3D"/>
    <w:rsid w:val="0060590B"/>
    <w:rsid w:val="00652A51"/>
    <w:rsid w:val="00775B81"/>
    <w:rsid w:val="007A2FA1"/>
    <w:rsid w:val="00803B32"/>
    <w:rsid w:val="00805BD5"/>
    <w:rsid w:val="008871AC"/>
    <w:rsid w:val="008A5A54"/>
    <w:rsid w:val="008A7FE3"/>
    <w:rsid w:val="008E5754"/>
    <w:rsid w:val="008F59CD"/>
    <w:rsid w:val="00902449"/>
    <w:rsid w:val="009827B8"/>
    <w:rsid w:val="009B4469"/>
    <w:rsid w:val="009E2E1E"/>
    <w:rsid w:val="009F66DB"/>
    <w:rsid w:val="00A519DE"/>
    <w:rsid w:val="00A53D9A"/>
    <w:rsid w:val="00A60ED6"/>
    <w:rsid w:val="00AF637F"/>
    <w:rsid w:val="00BB10BC"/>
    <w:rsid w:val="00C43A5B"/>
    <w:rsid w:val="00C762CD"/>
    <w:rsid w:val="00C81E74"/>
    <w:rsid w:val="00CA73E7"/>
    <w:rsid w:val="00D3162C"/>
    <w:rsid w:val="00DC4E60"/>
    <w:rsid w:val="00E35CD0"/>
    <w:rsid w:val="00EB278F"/>
    <w:rsid w:val="00EB5D0C"/>
    <w:rsid w:val="00ED30C2"/>
    <w:rsid w:val="00F31BCF"/>
    <w:rsid w:val="00F77073"/>
    <w:rsid w:val="00FB19A8"/>
    <w:rsid w:val="00FD0023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54"/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5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Leodan Gonzalez</dc:creator>
  <cp:lastModifiedBy>sjuncal</cp:lastModifiedBy>
  <cp:revision>8</cp:revision>
  <dcterms:created xsi:type="dcterms:W3CDTF">2017-05-05T14:44:00Z</dcterms:created>
  <dcterms:modified xsi:type="dcterms:W3CDTF">2017-08-31T13:49:00Z</dcterms:modified>
</cp:coreProperties>
</file>